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822" w:rsidRPr="008D2810" w:rsidRDefault="00B151BD" w:rsidP="001A0822">
      <w:pPr>
        <w:spacing w:line="360" w:lineRule="auto"/>
        <w:jc w:val="center"/>
        <w:rPr>
          <w:rFonts w:asciiTheme="majorEastAsia" w:eastAsiaTheme="majorEastAsia" w:hAnsiTheme="majorEastAsia" w:cs="仿宋_GB2312"/>
          <w:b/>
          <w:sz w:val="32"/>
          <w:szCs w:val="32"/>
        </w:rPr>
      </w:pPr>
      <w:r w:rsidRPr="00B151BD">
        <w:rPr>
          <w:rFonts w:asciiTheme="majorEastAsia" w:eastAsiaTheme="majorEastAsia" w:hAnsiTheme="majorEastAsia" w:cs="仿宋_GB2312" w:hint="eastAsia"/>
          <w:b/>
          <w:sz w:val="32"/>
          <w:szCs w:val="32"/>
        </w:rPr>
        <w:t>薛埠中心幼儿园室外附属维修工程</w:t>
      </w:r>
      <w:r w:rsidR="001A0822" w:rsidRPr="008D2810">
        <w:rPr>
          <w:rFonts w:asciiTheme="majorEastAsia" w:eastAsiaTheme="majorEastAsia" w:hAnsiTheme="majorEastAsia" w:hint="eastAsia"/>
          <w:b/>
          <w:sz w:val="32"/>
          <w:szCs w:val="32"/>
        </w:rPr>
        <w:t>编制说明</w:t>
      </w:r>
    </w:p>
    <w:p w:rsidR="001A0822" w:rsidRPr="008D2810" w:rsidRDefault="001A0822" w:rsidP="001A0822">
      <w:pPr>
        <w:spacing w:line="360" w:lineRule="auto"/>
        <w:rPr>
          <w:rFonts w:asciiTheme="majorEastAsia" w:eastAsiaTheme="majorEastAsia" w:hAnsiTheme="majorEastAsia" w:cs="仿宋_GB2312"/>
          <w:b/>
          <w:sz w:val="30"/>
          <w:szCs w:val="30"/>
        </w:rPr>
      </w:pPr>
      <w:r w:rsidRPr="008D2810">
        <w:rPr>
          <w:rFonts w:asciiTheme="majorEastAsia" w:eastAsiaTheme="majorEastAsia" w:hAnsiTheme="majorEastAsia" w:cs="仿宋_GB2312" w:hint="eastAsia"/>
          <w:b/>
          <w:sz w:val="30"/>
          <w:szCs w:val="30"/>
        </w:rPr>
        <w:t>一、工程概况</w:t>
      </w:r>
    </w:p>
    <w:p w:rsidR="001A0822" w:rsidRPr="00D34392" w:rsidRDefault="001A0822" w:rsidP="001A0822">
      <w:pPr>
        <w:adjustRightInd w:val="0"/>
        <w:snapToGrid w:val="0"/>
        <w:spacing w:line="360" w:lineRule="auto"/>
        <w:ind w:firstLineChars="200" w:firstLine="480"/>
        <w:rPr>
          <w:rFonts w:asciiTheme="majorEastAsia" w:eastAsiaTheme="majorEastAsia" w:hAnsiTheme="majorEastAsia" w:cs="仿宋_GB2312"/>
          <w:sz w:val="24"/>
        </w:rPr>
      </w:pPr>
      <w:r w:rsidRPr="00D34392">
        <w:rPr>
          <w:rFonts w:asciiTheme="majorEastAsia" w:eastAsiaTheme="majorEastAsia" w:hAnsiTheme="majorEastAsia" w:cs="仿宋_GB2312" w:hint="eastAsia"/>
          <w:sz w:val="24"/>
        </w:rPr>
        <w:t>本工程为</w:t>
      </w:r>
      <w:r w:rsidR="00B151BD">
        <w:rPr>
          <w:rFonts w:asciiTheme="majorEastAsia" w:eastAsiaTheme="majorEastAsia" w:hAnsiTheme="majorEastAsia" w:cs="仿宋_GB2312" w:hint="eastAsia"/>
          <w:sz w:val="24"/>
        </w:rPr>
        <w:t>薛埠中心幼儿园室外附属维修</w:t>
      </w:r>
      <w:r w:rsidRPr="009C7611">
        <w:rPr>
          <w:rFonts w:asciiTheme="majorEastAsia" w:eastAsiaTheme="majorEastAsia" w:hAnsiTheme="majorEastAsia" w:cs="仿宋_GB2312" w:hint="eastAsia"/>
          <w:sz w:val="24"/>
        </w:rPr>
        <w:t>工程</w:t>
      </w:r>
      <w:r>
        <w:rPr>
          <w:rFonts w:asciiTheme="majorEastAsia" w:eastAsiaTheme="majorEastAsia" w:hAnsiTheme="majorEastAsia" w:cs="仿宋_GB2312" w:hint="eastAsia"/>
          <w:sz w:val="24"/>
        </w:rPr>
        <w:t>项目</w:t>
      </w:r>
      <w:r w:rsidRPr="00D34392">
        <w:rPr>
          <w:rFonts w:asciiTheme="majorEastAsia" w:eastAsiaTheme="majorEastAsia" w:hAnsiTheme="majorEastAsia" w:cs="仿宋_GB2312" w:hint="eastAsia"/>
          <w:sz w:val="24"/>
        </w:rPr>
        <w:t>，</w:t>
      </w:r>
      <w:r>
        <w:rPr>
          <w:rFonts w:asciiTheme="majorEastAsia" w:eastAsiaTheme="majorEastAsia" w:hAnsiTheme="majorEastAsia" w:cs="仿宋_GB2312" w:hint="eastAsia"/>
          <w:sz w:val="24"/>
        </w:rPr>
        <w:t>常州市金坛区薛埠镇</w:t>
      </w:r>
      <w:r w:rsidR="00B151BD" w:rsidRPr="00B151BD">
        <w:rPr>
          <w:rFonts w:asciiTheme="majorEastAsia" w:eastAsiaTheme="majorEastAsia" w:hAnsiTheme="majorEastAsia" w:cs="仿宋_GB2312" w:hint="eastAsia"/>
          <w:sz w:val="24"/>
        </w:rPr>
        <w:t>薛埠中心幼儿园室外附属维修工程</w:t>
      </w:r>
      <w:r w:rsidRPr="00D34392">
        <w:rPr>
          <w:rFonts w:asciiTheme="majorEastAsia" w:eastAsiaTheme="majorEastAsia" w:hAnsiTheme="majorEastAsia" w:cs="仿宋_GB2312" w:hint="eastAsia"/>
          <w:sz w:val="24"/>
        </w:rPr>
        <w:t>，建设规模、工程特征、施工现场实际情况、交通运输情况、自然地理条件、环境保护要求等见招标文件。</w:t>
      </w:r>
    </w:p>
    <w:p w:rsidR="001A0822" w:rsidRPr="008D2810" w:rsidRDefault="001A0822" w:rsidP="001A0822">
      <w:pPr>
        <w:spacing w:line="360" w:lineRule="auto"/>
        <w:rPr>
          <w:rFonts w:asciiTheme="majorEastAsia" w:eastAsiaTheme="majorEastAsia" w:hAnsiTheme="majorEastAsia" w:cs="仿宋_GB2312"/>
          <w:b/>
          <w:sz w:val="30"/>
          <w:szCs w:val="30"/>
        </w:rPr>
      </w:pPr>
      <w:r w:rsidRPr="008D2810">
        <w:rPr>
          <w:rFonts w:asciiTheme="majorEastAsia" w:eastAsiaTheme="majorEastAsia" w:hAnsiTheme="majorEastAsia" w:cs="仿宋_GB2312" w:hint="eastAsia"/>
          <w:b/>
          <w:sz w:val="30"/>
          <w:szCs w:val="30"/>
        </w:rPr>
        <w:t>二、编制依据</w:t>
      </w:r>
    </w:p>
    <w:p w:rsidR="001A0822" w:rsidRPr="008D2810" w:rsidRDefault="001A0822" w:rsidP="001A0822">
      <w:pPr>
        <w:numPr>
          <w:ilvl w:val="0"/>
          <w:numId w:val="1"/>
        </w:numPr>
        <w:tabs>
          <w:tab w:val="left" w:pos="360"/>
          <w:tab w:val="left" w:pos="675"/>
        </w:tabs>
        <w:spacing w:line="360" w:lineRule="auto"/>
        <w:ind w:left="360"/>
        <w:rPr>
          <w:rFonts w:asciiTheme="majorEastAsia" w:eastAsiaTheme="majorEastAsia" w:hAnsiTheme="majorEastAsia" w:cs="宋体"/>
          <w:sz w:val="24"/>
        </w:rPr>
      </w:pPr>
      <w:r>
        <w:rPr>
          <w:rFonts w:asciiTheme="majorEastAsia" w:eastAsiaTheme="majorEastAsia" w:hAnsiTheme="majorEastAsia" w:cs="宋体" w:hint="eastAsia"/>
          <w:sz w:val="24"/>
        </w:rPr>
        <w:t>建设单位提供</w:t>
      </w:r>
      <w:r w:rsidRPr="008D2810">
        <w:rPr>
          <w:rFonts w:asciiTheme="majorEastAsia" w:eastAsiaTheme="majorEastAsia" w:hAnsiTheme="majorEastAsia" w:cs="宋体" w:hint="eastAsia"/>
          <w:sz w:val="24"/>
        </w:rPr>
        <w:t>的施工图。</w:t>
      </w:r>
    </w:p>
    <w:p w:rsidR="001A0822" w:rsidRDefault="001A0822" w:rsidP="001A0822">
      <w:pPr>
        <w:numPr>
          <w:ilvl w:val="0"/>
          <w:numId w:val="1"/>
        </w:numPr>
        <w:tabs>
          <w:tab w:val="left" w:pos="360"/>
          <w:tab w:val="left" w:pos="675"/>
        </w:tabs>
        <w:spacing w:line="360" w:lineRule="auto"/>
        <w:ind w:left="360"/>
        <w:rPr>
          <w:rFonts w:asciiTheme="majorEastAsia" w:eastAsiaTheme="majorEastAsia" w:hAnsiTheme="majorEastAsia" w:cs="宋体"/>
          <w:sz w:val="24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中华人民共和国住房和城乡建设部《建设工程工程量清单计价规范》（GB50500-2013）。</w:t>
      </w:r>
    </w:p>
    <w:p w:rsidR="001A0822" w:rsidRDefault="001A0822" w:rsidP="001A0822">
      <w:pPr>
        <w:tabs>
          <w:tab w:val="left" w:pos="360"/>
          <w:tab w:val="left" w:pos="675"/>
        </w:tabs>
        <w:spacing w:line="360" w:lineRule="auto"/>
        <w:ind w:left="480" w:hangingChars="200" w:hanging="480"/>
        <w:rPr>
          <w:rFonts w:asciiTheme="majorEastAsia" w:eastAsiaTheme="majorEastAsia" w:hAnsiTheme="majorEastAsia"/>
          <w:color w:val="000000"/>
          <w:sz w:val="24"/>
        </w:rPr>
      </w:pPr>
      <w:r w:rsidRPr="00705A1D">
        <w:rPr>
          <w:rFonts w:asciiTheme="majorEastAsia" w:eastAsiaTheme="majorEastAsia" w:hAnsiTheme="majorEastAsia" w:cs="宋体" w:hint="eastAsia"/>
          <w:sz w:val="24"/>
        </w:rPr>
        <w:t>3、《江苏省</w:t>
      </w:r>
      <w:r>
        <w:rPr>
          <w:rFonts w:asciiTheme="majorEastAsia" w:eastAsiaTheme="majorEastAsia" w:hAnsiTheme="majorEastAsia" w:cs="宋体" w:hint="eastAsia"/>
          <w:sz w:val="24"/>
        </w:rPr>
        <w:t>房屋修缮工程计价表</w:t>
      </w:r>
      <w:r w:rsidRPr="00705A1D">
        <w:rPr>
          <w:rFonts w:asciiTheme="majorEastAsia" w:eastAsiaTheme="majorEastAsia" w:hAnsiTheme="majorEastAsia" w:cs="宋体" w:hint="eastAsia"/>
          <w:sz w:val="24"/>
        </w:rPr>
        <w:t>》（2</w:t>
      </w:r>
      <w:r>
        <w:rPr>
          <w:rFonts w:asciiTheme="majorEastAsia" w:eastAsiaTheme="majorEastAsia" w:hAnsiTheme="majorEastAsia" w:cs="宋体" w:hint="eastAsia"/>
          <w:sz w:val="24"/>
        </w:rPr>
        <w:t>009</w:t>
      </w:r>
      <w:r w:rsidRPr="00705A1D">
        <w:rPr>
          <w:rFonts w:asciiTheme="majorEastAsia" w:eastAsiaTheme="majorEastAsia" w:hAnsiTheme="majorEastAsia" w:cs="宋体" w:hint="eastAsia"/>
          <w:sz w:val="24"/>
        </w:rPr>
        <w:t>年）</w:t>
      </w:r>
      <w:r>
        <w:rPr>
          <w:rFonts w:asciiTheme="majorEastAsia" w:eastAsiaTheme="majorEastAsia" w:hAnsiTheme="majorEastAsia" w:cs="宋体" w:hint="eastAsia"/>
          <w:sz w:val="24"/>
        </w:rPr>
        <w:t>、</w:t>
      </w:r>
      <w:r w:rsidRPr="00705A1D">
        <w:rPr>
          <w:rFonts w:asciiTheme="majorEastAsia" w:eastAsiaTheme="majorEastAsia" w:hAnsiTheme="majorEastAsia" w:cs="宋体" w:hint="eastAsia"/>
          <w:sz w:val="24"/>
        </w:rPr>
        <w:t>《江苏省</w:t>
      </w:r>
      <w:r>
        <w:rPr>
          <w:rFonts w:asciiTheme="majorEastAsia" w:eastAsiaTheme="majorEastAsia" w:hAnsiTheme="majorEastAsia" w:cs="宋体" w:hint="eastAsia"/>
          <w:sz w:val="24"/>
        </w:rPr>
        <w:t>建筑与装饰工程计价定额</w:t>
      </w:r>
      <w:r w:rsidRPr="00705A1D">
        <w:rPr>
          <w:rFonts w:asciiTheme="majorEastAsia" w:eastAsiaTheme="majorEastAsia" w:hAnsiTheme="majorEastAsia" w:cs="宋体" w:hint="eastAsia"/>
          <w:sz w:val="24"/>
        </w:rPr>
        <w:t>》（2014年）</w:t>
      </w:r>
      <w:r>
        <w:rPr>
          <w:rFonts w:asciiTheme="majorEastAsia" w:eastAsiaTheme="majorEastAsia" w:hAnsiTheme="majorEastAsia" w:cs="宋体" w:hint="eastAsia"/>
          <w:sz w:val="24"/>
        </w:rPr>
        <w:t>、</w:t>
      </w:r>
      <w:r w:rsidRPr="00705A1D">
        <w:rPr>
          <w:rFonts w:asciiTheme="majorEastAsia" w:eastAsiaTheme="majorEastAsia" w:hAnsiTheme="majorEastAsia" w:cs="宋体" w:hint="eastAsia"/>
          <w:sz w:val="24"/>
        </w:rPr>
        <w:t>《江苏省市政工程计价定额》（2014年）、</w:t>
      </w:r>
      <w:r w:rsidRPr="00705A1D">
        <w:rPr>
          <w:rFonts w:asciiTheme="majorEastAsia" w:eastAsiaTheme="majorEastAsia" w:hAnsiTheme="majorEastAsia" w:hint="eastAsia"/>
          <w:color w:val="000000"/>
          <w:sz w:val="24"/>
        </w:rPr>
        <w:t>《江苏省建设工程费用定额》（2014</w:t>
      </w:r>
    </w:p>
    <w:p w:rsidR="001A0822" w:rsidRDefault="001A0822" w:rsidP="001A0822">
      <w:pPr>
        <w:tabs>
          <w:tab w:val="left" w:pos="360"/>
          <w:tab w:val="left" w:pos="675"/>
        </w:tabs>
        <w:spacing w:line="360" w:lineRule="auto"/>
        <w:ind w:leftChars="114" w:left="479" w:hangingChars="100" w:hanging="240"/>
        <w:rPr>
          <w:rFonts w:asciiTheme="majorEastAsia" w:eastAsiaTheme="majorEastAsia" w:hAnsiTheme="majorEastAsia" w:cs="仿宋_GB2312"/>
          <w:kern w:val="0"/>
          <w:sz w:val="24"/>
          <w:szCs w:val="24"/>
        </w:rPr>
      </w:pPr>
      <w:r w:rsidRPr="00705A1D">
        <w:rPr>
          <w:rFonts w:asciiTheme="majorEastAsia" w:eastAsiaTheme="majorEastAsia" w:hAnsiTheme="majorEastAsia" w:hint="eastAsia"/>
          <w:color w:val="000000"/>
          <w:sz w:val="24"/>
        </w:rPr>
        <w:t>年）</w:t>
      </w:r>
      <w:r w:rsidRPr="00705A1D">
        <w:rPr>
          <w:rFonts w:asciiTheme="majorEastAsia" w:eastAsiaTheme="majorEastAsia" w:hAnsiTheme="majorEastAsia" w:cs="宋体" w:hint="eastAsia"/>
          <w:color w:val="000000"/>
          <w:sz w:val="24"/>
          <w:szCs w:val="24"/>
        </w:rPr>
        <w:t>及营改增后调整内容（</w:t>
      </w:r>
      <w:r w:rsidRPr="00705A1D">
        <w:rPr>
          <w:rFonts w:asciiTheme="majorEastAsia" w:eastAsiaTheme="majorEastAsia" w:hAnsiTheme="majorEastAsia" w:cs="仿宋_GB2312" w:hint="eastAsia"/>
          <w:kern w:val="0"/>
          <w:sz w:val="24"/>
          <w:szCs w:val="24"/>
        </w:rPr>
        <w:t>依据苏建价【2016】154号文件、常建【2016】94</w:t>
      </w:r>
    </w:p>
    <w:p w:rsidR="001A0822" w:rsidRDefault="001A0822" w:rsidP="001A0822">
      <w:pPr>
        <w:tabs>
          <w:tab w:val="left" w:pos="360"/>
          <w:tab w:val="left" w:pos="675"/>
        </w:tabs>
        <w:spacing w:line="360" w:lineRule="auto"/>
        <w:ind w:leftChars="114" w:left="479" w:hangingChars="100" w:hanging="240"/>
        <w:rPr>
          <w:rFonts w:asciiTheme="majorEastAsia" w:eastAsiaTheme="majorEastAsia" w:hAnsiTheme="majorEastAsia" w:cs="仿宋_GB2312"/>
          <w:sz w:val="24"/>
          <w:szCs w:val="24"/>
        </w:rPr>
      </w:pPr>
      <w:r w:rsidRPr="00705A1D">
        <w:rPr>
          <w:rFonts w:asciiTheme="majorEastAsia" w:eastAsiaTheme="majorEastAsia" w:hAnsiTheme="majorEastAsia" w:cs="仿宋_GB2312" w:hint="eastAsia"/>
          <w:kern w:val="0"/>
          <w:sz w:val="24"/>
          <w:szCs w:val="24"/>
        </w:rPr>
        <w:t>号及苏建函价【2019】178号文</w:t>
      </w:r>
      <w:r w:rsidRPr="00705A1D">
        <w:rPr>
          <w:rFonts w:asciiTheme="majorEastAsia" w:eastAsiaTheme="majorEastAsia" w:hAnsiTheme="majorEastAsia" w:cs="宋体" w:hint="eastAsia"/>
          <w:color w:val="000000"/>
          <w:sz w:val="24"/>
          <w:szCs w:val="24"/>
        </w:rPr>
        <w:t>）、</w:t>
      </w:r>
      <w:r w:rsidRPr="00705A1D">
        <w:rPr>
          <w:rFonts w:asciiTheme="majorEastAsia" w:eastAsiaTheme="majorEastAsia" w:hAnsiTheme="majorEastAsia" w:cs="仿宋_GB2312" w:hint="eastAsia"/>
          <w:sz w:val="24"/>
          <w:szCs w:val="24"/>
        </w:rPr>
        <w:t>《省住房城乡建设厅关于调整建设工程按</w:t>
      </w:r>
    </w:p>
    <w:p w:rsidR="001A0822" w:rsidRPr="00705A1D" w:rsidRDefault="001A0822" w:rsidP="001A0822">
      <w:pPr>
        <w:tabs>
          <w:tab w:val="left" w:pos="360"/>
          <w:tab w:val="left" w:pos="675"/>
        </w:tabs>
        <w:spacing w:line="360" w:lineRule="auto"/>
        <w:ind w:leftChars="114" w:left="479" w:hangingChars="100" w:hanging="240"/>
        <w:rPr>
          <w:rFonts w:asciiTheme="majorEastAsia" w:eastAsiaTheme="majorEastAsia" w:hAnsiTheme="majorEastAsia" w:cs="宋体"/>
          <w:sz w:val="24"/>
        </w:rPr>
      </w:pPr>
      <w:r w:rsidRPr="00705A1D">
        <w:rPr>
          <w:rFonts w:asciiTheme="majorEastAsia" w:eastAsiaTheme="majorEastAsia" w:hAnsiTheme="majorEastAsia" w:cs="仿宋_GB2312" w:hint="eastAsia"/>
          <w:sz w:val="24"/>
          <w:szCs w:val="24"/>
        </w:rPr>
        <w:t>质论价等费用计取方法的公告》（省建设厅公告【2018】第24号文）</w:t>
      </w:r>
      <w:r w:rsidRPr="00705A1D">
        <w:rPr>
          <w:rFonts w:asciiTheme="majorEastAsia" w:eastAsiaTheme="majorEastAsia" w:hAnsiTheme="majorEastAsia" w:cs="宋体" w:hint="eastAsia"/>
          <w:color w:val="000000"/>
          <w:sz w:val="24"/>
          <w:szCs w:val="24"/>
        </w:rPr>
        <w:t>等</w:t>
      </w:r>
      <w:r w:rsidRPr="00705A1D">
        <w:rPr>
          <w:rFonts w:asciiTheme="majorEastAsia" w:eastAsiaTheme="majorEastAsia" w:hAnsiTheme="majorEastAsia" w:hint="eastAsia"/>
          <w:color w:val="000000"/>
          <w:sz w:val="24"/>
        </w:rPr>
        <w:t>。</w:t>
      </w:r>
    </w:p>
    <w:p w:rsidR="001A0822" w:rsidRPr="008D2810" w:rsidRDefault="001A0822" w:rsidP="001A0822">
      <w:pPr>
        <w:tabs>
          <w:tab w:val="left" w:pos="709"/>
        </w:tabs>
        <w:spacing w:line="360" w:lineRule="auto"/>
        <w:ind w:leftChars="11" w:left="23" w:firstLineChars="50" w:firstLine="120"/>
        <w:rPr>
          <w:rFonts w:asciiTheme="majorEastAsia" w:eastAsiaTheme="majorEastAsia" w:hAnsiTheme="majorEastAsia" w:cs="仿宋_GB2312"/>
          <w:sz w:val="24"/>
          <w:szCs w:val="24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4、本项目工程各单位工程总价措施、规费及税金取费如下表：</w:t>
      </w:r>
    </w:p>
    <w:tbl>
      <w:tblPr>
        <w:tblpPr w:leftFromText="180" w:rightFromText="180" w:vertAnchor="page" w:horzAnchor="margin" w:tblpY="9436"/>
        <w:tblW w:w="92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1027"/>
        <w:gridCol w:w="675"/>
        <w:gridCol w:w="850"/>
        <w:gridCol w:w="884"/>
        <w:gridCol w:w="708"/>
        <w:gridCol w:w="709"/>
        <w:gridCol w:w="850"/>
        <w:gridCol w:w="709"/>
        <w:gridCol w:w="676"/>
        <w:gridCol w:w="708"/>
        <w:gridCol w:w="709"/>
        <w:gridCol w:w="709"/>
      </w:tblGrid>
      <w:tr w:rsidR="001A0822" w:rsidRPr="008D2810" w:rsidTr="0044516A">
        <w:trPr>
          <w:trHeight w:val="1844"/>
        </w:trPr>
        <w:tc>
          <w:tcPr>
            <w:tcW w:w="1027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工程名称</w:t>
            </w:r>
          </w:p>
        </w:tc>
        <w:tc>
          <w:tcPr>
            <w:tcW w:w="675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安全文明施工基本费</w:t>
            </w:r>
          </w:p>
        </w:tc>
        <w:tc>
          <w:tcPr>
            <w:tcW w:w="850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安全文明施工省级标化增加费:一星级</w:t>
            </w:r>
          </w:p>
        </w:tc>
        <w:tc>
          <w:tcPr>
            <w:tcW w:w="884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扬尘污染防治增加费</w:t>
            </w:r>
          </w:p>
        </w:tc>
        <w:tc>
          <w:tcPr>
            <w:tcW w:w="708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夜间施工</w:t>
            </w:r>
          </w:p>
        </w:tc>
        <w:tc>
          <w:tcPr>
            <w:tcW w:w="709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冬雨季施工</w:t>
            </w:r>
          </w:p>
        </w:tc>
        <w:tc>
          <w:tcPr>
            <w:tcW w:w="850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已完成工程及设备保护</w:t>
            </w:r>
          </w:p>
        </w:tc>
        <w:tc>
          <w:tcPr>
            <w:tcW w:w="709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临时设施</w:t>
            </w:r>
          </w:p>
        </w:tc>
        <w:tc>
          <w:tcPr>
            <w:tcW w:w="676" w:type="dxa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建筑工人实名制</w:t>
            </w:r>
          </w:p>
        </w:tc>
        <w:tc>
          <w:tcPr>
            <w:tcW w:w="708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社会保障费</w:t>
            </w:r>
          </w:p>
        </w:tc>
        <w:tc>
          <w:tcPr>
            <w:tcW w:w="709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公积金</w:t>
            </w:r>
          </w:p>
        </w:tc>
        <w:tc>
          <w:tcPr>
            <w:tcW w:w="709" w:type="dxa"/>
            <w:vAlign w:val="center"/>
          </w:tcPr>
          <w:p w:rsidR="001A0822" w:rsidRPr="008D2810" w:rsidRDefault="001A0822" w:rsidP="0044516A">
            <w:pPr>
              <w:spacing w:line="240" w:lineRule="atLeas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税金</w:t>
            </w:r>
          </w:p>
        </w:tc>
      </w:tr>
      <w:tr w:rsidR="001A0822" w:rsidRPr="008D2810" w:rsidTr="00445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1027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市政道路</w:t>
            </w:r>
          </w:p>
        </w:tc>
        <w:tc>
          <w:tcPr>
            <w:tcW w:w="675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1.5</w:t>
            </w:r>
          </w:p>
        </w:tc>
        <w:tc>
          <w:tcPr>
            <w:tcW w:w="850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0.4</w:t>
            </w:r>
          </w:p>
        </w:tc>
        <w:tc>
          <w:tcPr>
            <w:tcW w:w="884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0.31</w:t>
            </w:r>
          </w:p>
        </w:tc>
        <w:tc>
          <w:tcPr>
            <w:tcW w:w="708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0.1</w:t>
            </w:r>
          </w:p>
        </w:tc>
        <w:tc>
          <w:tcPr>
            <w:tcW w:w="709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0.25</w:t>
            </w:r>
          </w:p>
        </w:tc>
        <w:tc>
          <w:tcPr>
            <w:tcW w:w="850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0.02</w:t>
            </w:r>
          </w:p>
        </w:tc>
        <w:tc>
          <w:tcPr>
            <w:tcW w:w="709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676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0.03</w:t>
            </w:r>
          </w:p>
        </w:tc>
        <w:tc>
          <w:tcPr>
            <w:tcW w:w="708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0.34</w:t>
            </w:r>
          </w:p>
        </w:tc>
        <w:tc>
          <w:tcPr>
            <w:tcW w:w="709" w:type="dxa"/>
            <w:vAlign w:val="center"/>
          </w:tcPr>
          <w:p w:rsidR="001A0822" w:rsidRPr="008D2810" w:rsidRDefault="001A0822" w:rsidP="0044516A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2810">
              <w:rPr>
                <w:rFonts w:asciiTheme="majorEastAsia" w:eastAsiaTheme="majorEastAsia" w:hAnsiTheme="majorEastAsia" w:hint="eastAsia"/>
                <w:sz w:val="18"/>
                <w:szCs w:val="18"/>
              </w:rPr>
              <w:t>9</w:t>
            </w:r>
          </w:p>
        </w:tc>
      </w:tr>
      <w:tr w:rsidR="001A0822" w:rsidRPr="008D2810" w:rsidTr="00445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1027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安装工程</w:t>
            </w:r>
          </w:p>
        </w:tc>
        <w:tc>
          <w:tcPr>
            <w:tcW w:w="675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1.5</w:t>
            </w:r>
          </w:p>
        </w:tc>
        <w:tc>
          <w:tcPr>
            <w:tcW w:w="850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0.3</w:t>
            </w:r>
          </w:p>
        </w:tc>
        <w:tc>
          <w:tcPr>
            <w:tcW w:w="884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0.21</w:t>
            </w:r>
          </w:p>
        </w:tc>
        <w:tc>
          <w:tcPr>
            <w:tcW w:w="708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0.08</w:t>
            </w:r>
          </w:p>
        </w:tc>
        <w:tc>
          <w:tcPr>
            <w:tcW w:w="709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0.09</w:t>
            </w:r>
          </w:p>
        </w:tc>
        <w:tc>
          <w:tcPr>
            <w:tcW w:w="709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0.05</w:t>
            </w:r>
          </w:p>
        </w:tc>
        <w:tc>
          <w:tcPr>
            <w:tcW w:w="676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1.3</w:t>
            </w:r>
          </w:p>
        </w:tc>
        <w:tc>
          <w:tcPr>
            <w:tcW w:w="708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0.03</w:t>
            </w:r>
          </w:p>
        </w:tc>
        <w:tc>
          <w:tcPr>
            <w:tcW w:w="709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2.4</w:t>
            </w:r>
          </w:p>
        </w:tc>
        <w:tc>
          <w:tcPr>
            <w:tcW w:w="709" w:type="dxa"/>
            <w:vAlign w:val="center"/>
          </w:tcPr>
          <w:p w:rsidR="001A0822" w:rsidRDefault="001A0822" w:rsidP="0044516A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0.42</w:t>
            </w:r>
          </w:p>
        </w:tc>
      </w:tr>
    </w:tbl>
    <w:p w:rsidR="001A0822" w:rsidRPr="00F83065" w:rsidRDefault="001A0822" w:rsidP="001A0822">
      <w:pPr>
        <w:spacing w:line="360" w:lineRule="auto"/>
        <w:ind w:firstLineChars="50" w:firstLine="120"/>
        <w:rPr>
          <w:rFonts w:asciiTheme="majorEastAsia" w:eastAsiaTheme="majorEastAsia" w:hAnsiTheme="majorEastAsia" w:cs="宋体"/>
          <w:sz w:val="24"/>
          <w:highlight w:val="yellow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5、材料价格按</w:t>
      </w:r>
      <w:r>
        <w:rPr>
          <w:rFonts w:asciiTheme="majorEastAsia" w:eastAsiaTheme="majorEastAsia" w:hAnsiTheme="majorEastAsia" w:cs="宋体" w:hint="eastAsia"/>
          <w:sz w:val="24"/>
        </w:rPr>
        <w:t>2020</w:t>
      </w:r>
      <w:r w:rsidRPr="008D2810">
        <w:rPr>
          <w:rFonts w:asciiTheme="majorEastAsia" w:eastAsiaTheme="majorEastAsia" w:hAnsiTheme="majorEastAsia" w:cs="宋体" w:hint="eastAsia"/>
          <w:sz w:val="24"/>
        </w:rPr>
        <w:t>年</w:t>
      </w:r>
      <w:r>
        <w:rPr>
          <w:rFonts w:asciiTheme="majorEastAsia" w:eastAsiaTheme="majorEastAsia" w:hAnsiTheme="majorEastAsia" w:cs="宋体" w:hint="eastAsia"/>
          <w:sz w:val="24"/>
          <w:highlight w:val="yellow"/>
        </w:rPr>
        <w:t>5</w:t>
      </w:r>
      <w:r w:rsidRPr="008D2810">
        <w:rPr>
          <w:rFonts w:asciiTheme="majorEastAsia" w:eastAsiaTheme="majorEastAsia" w:hAnsiTheme="majorEastAsia" w:cs="宋体" w:hint="eastAsia"/>
          <w:sz w:val="24"/>
          <w:highlight w:val="yellow"/>
        </w:rPr>
        <w:t>月份</w:t>
      </w:r>
      <w:r w:rsidRPr="008D2810">
        <w:rPr>
          <w:rFonts w:asciiTheme="majorEastAsia" w:eastAsiaTheme="majorEastAsia" w:hAnsiTheme="majorEastAsia" w:cs="宋体" w:hint="eastAsia"/>
          <w:sz w:val="24"/>
        </w:rPr>
        <w:t>常州工程造价信息除税指导价及市场询价计入。</w:t>
      </w:r>
    </w:p>
    <w:p w:rsidR="001A0822" w:rsidRPr="008D2810" w:rsidRDefault="001A0822" w:rsidP="001A0822">
      <w:pPr>
        <w:spacing w:line="360" w:lineRule="auto"/>
        <w:ind w:leftChars="57" w:left="480" w:hangingChars="150" w:hanging="360"/>
        <w:rPr>
          <w:rFonts w:asciiTheme="majorEastAsia" w:eastAsiaTheme="majorEastAsia" w:hAnsiTheme="majorEastAsia" w:cs="宋体"/>
          <w:sz w:val="24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6、本工程人工费按苏建函价[</w:t>
      </w:r>
      <w:r>
        <w:rPr>
          <w:rFonts w:asciiTheme="majorEastAsia" w:eastAsiaTheme="majorEastAsia" w:hAnsiTheme="majorEastAsia" w:cs="宋体" w:hint="eastAsia"/>
          <w:sz w:val="24"/>
        </w:rPr>
        <w:t>2020</w:t>
      </w:r>
      <w:r w:rsidRPr="008D2810">
        <w:rPr>
          <w:rFonts w:asciiTheme="majorEastAsia" w:eastAsiaTheme="majorEastAsia" w:hAnsiTheme="majorEastAsia" w:cs="宋体" w:hint="eastAsia"/>
          <w:sz w:val="24"/>
        </w:rPr>
        <w:t>]</w:t>
      </w:r>
      <w:r>
        <w:rPr>
          <w:rFonts w:asciiTheme="majorEastAsia" w:eastAsiaTheme="majorEastAsia" w:hAnsiTheme="majorEastAsia" w:cs="宋体" w:hint="eastAsia"/>
          <w:sz w:val="24"/>
        </w:rPr>
        <w:t>115</w:t>
      </w:r>
      <w:r w:rsidRPr="008D2810">
        <w:rPr>
          <w:rFonts w:asciiTheme="majorEastAsia" w:eastAsiaTheme="majorEastAsia" w:hAnsiTheme="majorEastAsia" w:cs="宋体" w:hint="eastAsia"/>
          <w:sz w:val="24"/>
        </w:rPr>
        <w:t>号文执行。</w:t>
      </w:r>
    </w:p>
    <w:p w:rsidR="001A0822" w:rsidRDefault="001A0822" w:rsidP="001A0822">
      <w:pPr>
        <w:spacing w:line="360" w:lineRule="auto"/>
        <w:ind w:leftChars="57" w:left="480" w:hangingChars="150" w:hanging="360"/>
        <w:rPr>
          <w:rFonts w:asciiTheme="majorEastAsia" w:eastAsiaTheme="majorEastAsia" w:hAnsiTheme="majorEastAsia" w:cs="宋体"/>
          <w:sz w:val="24"/>
        </w:rPr>
      </w:pPr>
      <w:r w:rsidRPr="008D2810">
        <w:rPr>
          <w:rFonts w:asciiTheme="majorEastAsia" w:eastAsiaTheme="majorEastAsia" w:hAnsiTheme="majorEastAsia" w:cs="宋体" w:hint="eastAsia"/>
          <w:sz w:val="24"/>
        </w:rPr>
        <w:t>7、</w:t>
      </w:r>
      <w:r w:rsidRPr="008D2810">
        <w:rPr>
          <w:rFonts w:asciiTheme="majorEastAsia" w:eastAsiaTheme="majorEastAsia" w:hAnsiTheme="majorEastAsia" w:cs="仿宋_GB2312" w:hint="eastAsia"/>
          <w:kern w:val="0"/>
          <w:sz w:val="24"/>
          <w:szCs w:val="24"/>
        </w:rPr>
        <w:t>本工程计税方式为：增值税一般计税办法，依据苏建价【2016】154号文件、常建【2016】94号文及苏建函价【2019】178号文</w:t>
      </w:r>
      <w:r w:rsidRPr="008D2810">
        <w:rPr>
          <w:rFonts w:asciiTheme="majorEastAsia" w:eastAsiaTheme="majorEastAsia" w:hAnsiTheme="majorEastAsia" w:cs="宋体" w:hint="eastAsia"/>
          <w:sz w:val="24"/>
        </w:rPr>
        <w:t>。</w:t>
      </w:r>
    </w:p>
    <w:p w:rsidR="001A0822" w:rsidRDefault="001A0822" w:rsidP="001A0822">
      <w:pPr>
        <w:autoSpaceDE w:val="0"/>
        <w:autoSpaceDN w:val="0"/>
        <w:adjustRightInd w:val="0"/>
        <w:spacing w:line="360" w:lineRule="auto"/>
        <w:ind w:firstLineChars="50" w:firstLine="120"/>
        <w:jc w:val="left"/>
        <w:rPr>
          <w:rFonts w:ascii="宋体" w:hAnsi="Arial"/>
          <w:sz w:val="24"/>
          <w:szCs w:val="24"/>
        </w:rPr>
      </w:pPr>
      <w:r>
        <w:rPr>
          <w:rFonts w:ascii="宋体" w:hAnsi="宋体" w:cs="宋体" w:hint="eastAsia"/>
          <w:sz w:val="24"/>
        </w:rPr>
        <w:t>8</w:t>
      </w:r>
      <w:r w:rsidRPr="00BC7256">
        <w:rPr>
          <w:rFonts w:ascii="宋体" w:hAnsi="宋体" w:cs="宋体" w:hint="eastAsia"/>
          <w:sz w:val="24"/>
        </w:rPr>
        <w:t>、本</w:t>
      </w:r>
      <w:r w:rsidRPr="00BC7256">
        <w:rPr>
          <w:rFonts w:ascii="宋体" w:hAnsi="Arial" w:hint="eastAsia"/>
          <w:sz w:val="24"/>
          <w:szCs w:val="24"/>
        </w:rPr>
        <w:t>工程所用砼均为预拌商品砼（无论清单项目特征是否注明砼拌和方式），</w:t>
      </w:r>
    </w:p>
    <w:p w:rsidR="001A0822" w:rsidRPr="00B25312" w:rsidRDefault="001A0822" w:rsidP="001A0822">
      <w:pPr>
        <w:autoSpaceDE w:val="0"/>
        <w:autoSpaceDN w:val="0"/>
        <w:adjustRightInd w:val="0"/>
        <w:spacing w:line="360" w:lineRule="auto"/>
        <w:ind w:left="420"/>
        <w:jc w:val="left"/>
        <w:rPr>
          <w:rFonts w:ascii="宋体" w:hAnsi="Arial"/>
          <w:sz w:val="24"/>
          <w:szCs w:val="24"/>
        </w:rPr>
      </w:pPr>
      <w:r w:rsidRPr="00BC7256">
        <w:rPr>
          <w:rFonts w:ascii="宋体" w:hAnsi="Arial" w:hint="eastAsia"/>
          <w:sz w:val="24"/>
          <w:szCs w:val="24"/>
        </w:rPr>
        <w:t>投标</w:t>
      </w:r>
      <w:r w:rsidRPr="00B25312">
        <w:rPr>
          <w:rFonts w:ascii="宋体" w:hAnsi="Arial" w:hint="eastAsia"/>
          <w:sz w:val="24"/>
          <w:szCs w:val="24"/>
        </w:rPr>
        <w:t>人应按此要求报价，并含在相应的投标综合单价内。如投标人选用的方</w:t>
      </w:r>
      <w:r w:rsidRPr="00B25312">
        <w:rPr>
          <w:rFonts w:ascii="宋体" w:hAnsi="Arial" w:hint="eastAsia"/>
          <w:sz w:val="24"/>
          <w:szCs w:val="24"/>
        </w:rPr>
        <w:lastRenderedPageBreak/>
        <w:t>式与清单项目特征不符，请在投标综合单价中自行考虑。结算时，预拌商品砼输送方式不同，综合单价不调整。投标人报价时应充分考虑此因素。</w:t>
      </w:r>
    </w:p>
    <w:p w:rsidR="001A0822" w:rsidRPr="00B25312" w:rsidRDefault="001A0822" w:rsidP="001A0822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hAnsi="Arial"/>
          <w:sz w:val="24"/>
          <w:szCs w:val="24"/>
        </w:rPr>
      </w:pPr>
      <w:r w:rsidRPr="00B25312">
        <w:rPr>
          <w:rFonts w:ascii="宋体" w:hAnsi="Arial" w:hint="eastAsia"/>
          <w:sz w:val="24"/>
          <w:szCs w:val="24"/>
        </w:rPr>
        <w:t>本工程所用砂浆均为预拌商品砂浆（无论清单项目特征是否注明砂浆拌和方式），投标人应按此要求报价，并含在相应的投标综合单价内。</w:t>
      </w:r>
    </w:p>
    <w:p w:rsidR="001A0822" w:rsidRPr="00AE1032" w:rsidRDefault="001A0822" w:rsidP="001A082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color w:val="000000"/>
          <w:kern w:val="0"/>
          <w:sz w:val="24"/>
        </w:rPr>
      </w:pPr>
      <w:r w:rsidRPr="00AE1032">
        <w:rPr>
          <w:rFonts w:ascii="宋体" w:hAnsi="宋体" w:cs="宋体" w:hint="eastAsia"/>
          <w:color w:val="000000"/>
          <w:kern w:val="0"/>
          <w:sz w:val="24"/>
        </w:rPr>
        <w:t>本项目所有大型机械设备进出场及安拆费用包干，结算时不调整。</w:t>
      </w:r>
    </w:p>
    <w:p w:rsidR="001A0822" w:rsidRDefault="001A0822" w:rsidP="001A082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color w:val="000000"/>
          <w:kern w:val="0"/>
          <w:sz w:val="24"/>
        </w:rPr>
      </w:pPr>
      <w:r w:rsidRPr="00AE1032">
        <w:rPr>
          <w:rFonts w:ascii="宋体" w:hAnsi="宋体" w:cs="宋体" w:hint="eastAsia"/>
          <w:color w:val="000000"/>
          <w:kern w:val="0"/>
          <w:sz w:val="24"/>
        </w:rPr>
        <w:t>由于维修项目零星、场地散，现场情况复杂，成品保护要求高，土方、材料、垃圾受场地的限制,必须要求:运输通道铺保护板、材料及垃圾人工挑台、人力车二次搬运，</w:t>
      </w:r>
      <w:r>
        <w:rPr>
          <w:rFonts w:ascii="宋体" w:hAnsi="宋体" w:cs="宋体" w:hint="eastAsia"/>
          <w:color w:val="000000"/>
          <w:kern w:val="0"/>
          <w:sz w:val="24"/>
        </w:rPr>
        <w:t>，工完场清；因此二次搬运费、成品保护费</w:t>
      </w:r>
      <w:r w:rsidRPr="00AE1032">
        <w:rPr>
          <w:rFonts w:ascii="宋体" w:hAnsi="宋体" w:cs="宋体" w:hint="eastAsia"/>
          <w:color w:val="000000"/>
          <w:kern w:val="0"/>
          <w:sz w:val="24"/>
        </w:rPr>
        <w:t>、脚手架等措施费用包干，不另行签证，价格不调整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1A0822" w:rsidRPr="00AE1032" w:rsidRDefault="001A0822" w:rsidP="001A082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color w:val="000000"/>
          <w:kern w:val="0"/>
          <w:sz w:val="24"/>
        </w:rPr>
      </w:pPr>
      <w:r w:rsidRPr="00AE1032">
        <w:rPr>
          <w:rFonts w:ascii="宋体" w:hAnsi="宋体" w:cs="宋体" w:hint="eastAsia"/>
          <w:color w:val="000000"/>
          <w:kern w:val="0"/>
          <w:sz w:val="24"/>
        </w:rPr>
        <w:t>施工期间如损坏、污染其原校园设备、场地等设施必须按原样复原，不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</w:t>
      </w:r>
      <w:r w:rsidRPr="00AE1032">
        <w:rPr>
          <w:rFonts w:ascii="宋体" w:hAnsi="宋体" w:cs="宋体" w:hint="eastAsia"/>
          <w:color w:val="000000"/>
          <w:kern w:val="0"/>
          <w:sz w:val="24"/>
        </w:rPr>
        <w:t>另行签证，价格不调整。</w:t>
      </w:r>
    </w:p>
    <w:p w:rsidR="001A0822" w:rsidRDefault="001A0822" w:rsidP="001A082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color w:val="000000"/>
          <w:kern w:val="0"/>
          <w:sz w:val="24"/>
        </w:rPr>
      </w:pPr>
      <w:r w:rsidRPr="00F50F8F">
        <w:rPr>
          <w:rFonts w:ascii="宋体" w:hAnsi="宋体" w:cs="宋体" w:hint="eastAsia"/>
          <w:color w:val="000000"/>
          <w:kern w:val="0"/>
          <w:sz w:val="24"/>
        </w:rPr>
        <w:t>各工种、各专业之间无条件配合，不计取任何配合费。</w:t>
      </w:r>
    </w:p>
    <w:p w:rsidR="001A0822" w:rsidRPr="00F50F8F" w:rsidRDefault="001A0822" w:rsidP="001A082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color w:val="000000"/>
          <w:kern w:val="0"/>
          <w:sz w:val="24"/>
        </w:rPr>
      </w:pPr>
      <w:r w:rsidRPr="00C03318">
        <w:rPr>
          <w:rFonts w:ascii="宋体" w:hAnsi="宋体" w:cs="宋体" w:hint="eastAsia"/>
          <w:color w:val="000000"/>
          <w:kern w:val="0"/>
          <w:sz w:val="24"/>
        </w:rPr>
        <w:t>水电费甲供，临时用电水线缆、控制箱管材等自行考虑，满足安全文明施工要求，完工后恢复原状。</w:t>
      </w:r>
    </w:p>
    <w:p w:rsidR="001A0822" w:rsidRDefault="001A0822" w:rsidP="001A0822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color w:val="000000"/>
          <w:kern w:val="0"/>
          <w:sz w:val="24"/>
        </w:rPr>
      </w:pPr>
      <w:r w:rsidRPr="00C03318">
        <w:rPr>
          <w:rFonts w:ascii="宋体" w:hAnsi="宋体" w:cs="宋体" w:hint="eastAsia"/>
          <w:color w:val="000000"/>
          <w:kern w:val="0"/>
          <w:sz w:val="24"/>
        </w:rPr>
        <w:t>所有垃圾清理外运：清理、拆除的垃圾外运及垃圾处理费，由投标单位考虑到报价中，垃圾处理要求按照“常城管（2019）31号”文件执行，该项费用包干。</w:t>
      </w:r>
    </w:p>
    <w:p w:rsidR="001A0822" w:rsidRPr="00C03318" w:rsidRDefault="001A0822" w:rsidP="001A0822">
      <w:pPr>
        <w:spacing w:line="360" w:lineRule="auto"/>
        <w:rPr>
          <w:rFonts w:ascii="宋体" w:hAnsi="宋体" w:cs="宋体"/>
          <w:color w:val="000000"/>
          <w:kern w:val="0"/>
          <w:sz w:val="24"/>
        </w:rPr>
      </w:pPr>
    </w:p>
    <w:p w:rsidR="001A0822" w:rsidRPr="00C03318" w:rsidRDefault="001A0822" w:rsidP="001A0822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  <w:r w:rsidRPr="00C03318">
        <w:rPr>
          <w:rFonts w:asciiTheme="majorEastAsia" w:eastAsiaTheme="majorEastAsia" w:hAnsiTheme="majorEastAsia" w:hint="eastAsia"/>
          <w:b/>
          <w:sz w:val="28"/>
          <w:szCs w:val="28"/>
        </w:rPr>
        <w:t>三、材料品牌选择</w:t>
      </w:r>
      <w:r w:rsidRPr="00C03318">
        <w:rPr>
          <w:rFonts w:asciiTheme="majorEastAsia" w:eastAsiaTheme="majorEastAsia" w:hAnsiTheme="majorEastAsia" w:hint="eastAsia"/>
          <w:sz w:val="32"/>
          <w:szCs w:val="32"/>
        </w:rPr>
        <w:t>：</w:t>
      </w: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696"/>
        <w:gridCol w:w="2110"/>
        <w:gridCol w:w="4598"/>
        <w:gridCol w:w="997"/>
      </w:tblGrid>
      <w:tr w:rsidR="001A0822" w:rsidTr="0044516A">
        <w:trPr>
          <w:trHeight w:val="5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品 牌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1A0822" w:rsidTr="0044516A">
        <w:trPr>
          <w:trHeight w:val="76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ind w:firstLineChars="100" w:firstLine="24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给、排水管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ind w:rightChars="-51" w:right="-10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河马或联塑或中财</w:t>
            </w:r>
            <w:r>
              <w:rPr>
                <w:rFonts w:ascii="宋体" w:hAnsi="宋体" w:cs="Arial" w:hint="eastAsia"/>
                <w:sz w:val="24"/>
                <w:szCs w:val="24"/>
              </w:rPr>
              <w:t>或经甲方认可的其他同档次品牌。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22" w:rsidRDefault="001A0822" w:rsidP="0044516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A0822" w:rsidTr="0044516A">
        <w:trPr>
          <w:trHeight w:val="76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ind w:firstLineChars="100" w:firstLine="24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线缆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ind w:rightChars="-51" w:right="-10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上上、远东、江南或经建设方认可的上述同档次品牌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22" w:rsidRDefault="001A0822" w:rsidP="0044516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A0822" w:rsidTr="0044516A">
        <w:trPr>
          <w:trHeight w:val="76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ind w:firstLineChars="100" w:firstLine="24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配电箱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22" w:rsidRDefault="001A0822" w:rsidP="0044516A">
            <w:pPr>
              <w:widowControl/>
              <w:ind w:rightChars="-51" w:right="-10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德力西、TCL、正泰或经建设方认可的上述同档次品牌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22" w:rsidRDefault="001A0822" w:rsidP="0044516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1A0822" w:rsidRDefault="001A0822" w:rsidP="001A0822">
      <w:pPr>
        <w:spacing w:line="360" w:lineRule="auto"/>
        <w:ind w:left="120"/>
        <w:rPr>
          <w:rFonts w:asciiTheme="majorEastAsia" w:eastAsiaTheme="majorEastAsia" w:hAnsiTheme="majorEastAsia" w:cs="仿宋"/>
          <w:b/>
          <w:color w:val="000000"/>
          <w:sz w:val="28"/>
          <w:szCs w:val="28"/>
        </w:rPr>
      </w:pPr>
    </w:p>
    <w:p w:rsidR="001A0822" w:rsidRDefault="001A0822" w:rsidP="001A0822">
      <w:pPr>
        <w:spacing w:line="360" w:lineRule="auto"/>
        <w:ind w:left="120"/>
        <w:rPr>
          <w:rFonts w:asciiTheme="majorEastAsia" w:eastAsiaTheme="majorEastAsia" w:hAnsiTheme="majorEastAsia" w:cs="仿宋"/>
          <w:b/>
          <w:color w:val="000000"/>
          <w:sz w:val="28"/>
          <w:szCs w:val="28"/>
        </w:rPr>
      </w:pPr>
    </w:p>
    <w:p w:rsidR="001A0822" w:rsidRDefault="001A0822" w:rsidP="001A0822">
      <w:pPr>
        <w:spacing w:line="360" w:lineRule="auto"/>
        <w:ind w:left="120"/>
        <w:rPr>
          <w:rFonts w:asciiTheme="majorEastAsia" w:eastAsiaTheme="majorEastAsia" w:hAnsiTheme="majorEastAsia" w:cs="仿宋"/>
          <w:b/>
          <w:color w:val="000000"/>
          <w:sz w:val="28"/>
          <w:szCs w:val="28"/>
        </w:rPr>
      </w:pPr>
    </w:p>
    <w:p w:rsidR="001A0822" w:rsidRDefault="001A0822" w:rsidP="001A0822">
      <w:pPr>
        <w:spacing w:line="360" w:lineRule="auto"/>
        <w:ind w:left="120"/>
        <w:rPr>
          <w:rFonts w:asciiTheme="majorEastAsia" w:eastAsiaTheme="majorEastAsia" w:hAnsiTheme="majorEastAsia" w:cs="仿宋"/>
          <w:b/>
          <w:color w:val="000000"/>
          <w:sz w:val="28"/>
          <w:szCs w:val="28"/>
        </w:rPr>
      </w:pPr>
      <w:r>
        <w:rPr>
          <w:rFonts w:asciiTheme="majorEastAsia" w:eastAsiaTheme="majorEastAsia" w:hAnsiTheme="majorEastAsia" w:cs="仿宋" w:hint="eastAsia"/>
          <w:b/>
          <w:color w:val="000000"/>
          <w:sz w:val="28"/>
          <w:szCs w:val="28"/>
        </w:rPr>
        <w:lastRenderedPageBreak/>
        <w:t>四、室外附属</w:t>
      </w:r>
      <w:r w:rsidRPr="009A1FA1">
        <w:rPr>
          <w:rFonts w:asciiTheme="majorEastAsia" w:eastAsiaTheme="majorEastAsia" w:hAnsiTheme="majorEastAsia" w:cs="仿宋" w:hint="eastAsia"/>
          <w:b/>
          <w:color w:val="000000"/>
          <w:sz w:val="28"/>
          <w:szCs w:val="28"/>
        </w:rPr>
        <w:t>工程</w:t>
      </w:r>
    </w:p>
    <w:p w:rsidR="001A0822" w:rsidRPr="009A1FA1" w:rsidRDefault="001A0822" w:rsidP="001A0822">
      <w:pPr>
        <w:pStyle w:val="a6"/>
        <w:numPr>
          <w:ilvl w:val="0"/>
          <w:numId w:val="3"/>
        </w:numPr>
        <w:spacing w:line="360" w:lineRule="auto"/>
        <w:ind w:firstLineChars="0"/>
        <w:rPr>
          <w:rFonts w:asciiTheme="minorEastAsia" w:eastAsiaTheme="minorEastAsia" w:hAnsiTheme="minorEastAsia" w:cs="仿宋"/>
          <w:color w:val="000000"/>
          <w:sz w:val="24"/>
          <w:szCs w:val="24"/>
        </w:rPr>
      </w:pPr>
      <w:r w:rsidRPr="009A1FA1">
        <w:rPr>
          <w:rFonts w:asciiTheme="minorEastAsia" w:eastAsiaTheme="minorEastAsia" w:hAnsiTheme="minorEastAsia" w:cs="仿宋" w:hint="eastAsia"/>
          <w:color w:val="000000"/>
          <w:sz w:val="24"/>
          <w:szCs w:val="24"/>
        </w:rPr>
        <w:t>道路、场地拆除场地拆除，砼道路面层拆除，锯缝机锯缝、清理、拆除垃圾装车外运，运距及弃置点自行考虑，拆除范围以甲方控制、现场签证为准。</w:t>
      </w:r>
    </w:p>
    <w:p w:rsidR="001A0822" w:rsidRPr="009A1FA1" w:rsidRDefault="001A0822" w:rsidP="001A0822">
      <w:pPr>
        <w:pStyle w:val="a6"/>
        <w:numPr>
          <w:ilvl w:val="0"/>
          <w:numId w:val="3"/>
        </w:numPr>
        <w:spacing w:line="360" w:lineRule="auto"/>
        <w:ind w:leftChars="228" w:left="839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9A1FA1">
        <w:rPr>
          <w:rFonts w:asciiTheme="minorEastAsia" w:eastAsiaTheme="minorEastAsia" w:hAnsiTheme="minorEastAsia" w:cs="仿宋" w:hint="eastAsia"/>
          <w:color w:val="000000"/>
          <w:sz w:val="24"/>
          <w:szCs w:val="24"/>
        </w:rPr>
        <w:t>砼道路恢复，10cm碎石垫层，15cm厚C30砼路面（非泵送商品砼),路面刻痕，养护，锯缝机每隔5m锯缩缝,沥青填缝，每隔50m设置一条横向胀缝，缝宽2cm,内置浸油木纤板,养生、模板支、拆等全部工序，具体做法详图纸设计</w:t>
      </w:r>
      <w:r>
        <w:rPr>
          <w:rFonts w:asciiTheme="minorEastAsia" w:eastAsiaTheme="minorEastAsia" w:hAnsiTheme="minorEastAsia" w:cs="仿宋" w:hint="eastAsia"/>
          <w:color w:val="000000"/>
          <w:sz w:val="24"/>
          <w:szCs w:val="24"/>
        </w:rPr>
        <w:t>。</w:t>
      </w:r>
    </w:p>
    <w:p w:rsidR="001A0822" w:rsidRDefault="001A0822" w:rsidP="001A0822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ajorEastAsia" w:eastAsiaTheme="majorEastAsia" w:hAnsiTheme="majorEastAsia" w:cs="仿宋_GB2312"/>
          <w:sz w:val="24"/>
        </w:rPr>
      </w:pPr>
      <w:r w:rsidRPr="00401BE6">
        <w:rPr>
          <w:rFonts w:ascii="宋体" w:hAnsi="宋体" w:hint="eastAsia"/>
          <w:sz w:val="24"/>
          <w:szCs w:val="24"/>
        </w:rPr>
        <w:t xml:space="preserve">   </w:t>
      </w:r>
      <w:r w:rsidRPr="00401BE6">
        <w:rPr>
          <w:rFonts w:asciiTheme="majorEastAsia" w:eastAsiaTheme="majorEastAsia" w:hAnsiTheme="majorEastAsia" w:cs="仿宋_GB2312" w:hint="eastAsia"/>
          <w:sz w:val="24"/>
        </w:rPr>
        <w:t>雨污水管采用DN300~600球磨铸铁管，10cm砂垫层120°管道基础。</w:t>
      </w:r>
    </w:p>
    <w:p w:rsidR="001A0822" w:rsidRPr="00401BE6" w:rsidRDefault="001A0822" w:rsidP="001A0822">
      <w:pPr>
        <w:pStyle w:val="a6"/>
        <w:adjustRightInd w:val="0"/>
        <w:snapToGrid w:val="0"/>
        <w:spacing w:line="360" w:lineRule="auto"/>
        <w:ind w:left="675" w:firstLineChars="0" w:firstLine="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 xml:space="preserve">  雨水收水支管采用C20砼包封。</w:t>
      </w:r>
    </w:p>
    <w:p w:rsidR="001A0822" w:rsidRDefault="001A0822" w:rsidP="001A0822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ajorEastAsia" w:eastAsiaTheme="majorEastAsia" w:hAnsiTheme="majorEastAsia" w:cs="仿宋_GB2312"/>
          <w:sz w:val="24"/>
        </w:rPr>
      </w:pPr>
      <w:r w:rsidRPr="00A01788">
        <w:rPr>
          <w:rFonts w:asciiTheme="majorEastAsia" w:eastAsiaTheme="majorEastAsia" w:hAnsiTheme="majorEastAsia" w:cs="仿宋_GB2312" w:hint="eastAsia"/>
          <w:sz w:val="24"/>
        </w:rPr>
        <w:t>雨</w:t>
      </w:r>
      <w:r>
        <w:rPr>
          <w:rFonts w:asciiTheme="majorEastAsia" w:eastAsiaTheme="majorEastAsia" w:hAnsiTheme="majorEastAsia" w:cs="仿宋_GB2312" w:hint="eastAsia"/>
          <w:sz w:val="24"/>
        </w:rPr>
        <w:t>污</w:t>
      </w:r>
      <w:r w:rsidRPr="00A01788">
        <w:rPr>
          <w:rFonts w:asciiTheme="majorEastAsia" w:eastAsiaTheme="majorEastAsia" w:hAnsiTheme="majorEastAsia" w:cs="仿宋_GB2312" w:hint="eastAsia"/>
          <w:sz w:val="24"/>
        </w:rPr>
        <w:t>水管道，绿化带内沟槽采用素土回填,车行道范围内管道沟槽回填采用6%掺灰土回填至道路路床，道路结构层范围内同道路标准。</w:t>
      </w:r>
    </w:p>
    <w:p w:rsidR="001A0822" w:rsidRDefault="001A0822" w:rsidP="001A0822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ajorEastAsia" w:eastAsiaTheme="majorEastAsia" w:hAnsiTheme="majorEastAsia" w:cs="仿宋_GB2312"/>
          <w:sz w:val="24"/>
        </w:rPr>
      </w:pPr>
      <w:r>
        <w:rPr>
          <w:rFonts w:asciiTheme="majorEastAsia" w:eastAsiaTheme="majorEastAsia" w:hAnsiTheme="majorEastAsia" w:cs="仿宋_GB2312" w:hint="eastAsia"/>
          <w:sz w:val="24"/>
        </w:rPr>
        <w:t>供电管道工程,弱电管道，</w:t>
      </w:r>
      <w:r w:rsidRPr="00D27238">
        <w:rPr>
          <w:rFonts w:asciiTheme="majorEastAsia" w:eastAsiaTheme="majorEastAsia" w:hAnsiTheme="majorEastAsia" w:cs="仿宋_GB2312" w:hint="eastAsia"/>
          <w:sz w:val="24"/>
        </w:rPr>
        <w:t>2Φ32PE增强管,供电管道铺设、检查及清扫管材、安装管道、上接口、调直等图示所有工作内容</w:t>
      </w:r>
    </w:p>
    <w:p w:rsidR="001A0822" w:rsidRPr="00D27238" w:rsidRDefault="001A0822" w:rsidP="001A0822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D27238">
        <w:rPr>
          <w:rFonts w:asciiTheme="majorEastAsia" w:eastAsiaTheme="majorEastAsia" w:hAnsiTheme="majorEastAsia" w:cs="仿宋_GB2312" w:hint="eastAsia"/>
          <w:sz w:val="24"/>
        </w:rPr>
        <w:t>强电管道工程采用Φ110-CPVC管（e≥8mm）,供电管道铺设、检查及清扫管材、安装管道、上接口、调直</w:t>
      </w:r>
      <w:r w:rsidRPr="00D27238">
        <w:rPr>
          <w:rFonts w:ascii="宋体" w:hAnsi="宋体" w:hint="eastAsia"/>
          <w:sz w:val="24"/>
          <w:szCs w:val="24"/>
        </w:rPr>
        <w:t xml:space="preserve"> 。</w:t>
      </w:r>
    </w:p>
    <w:p w:rsidR="001A0822" w:rsidRDefault="001A0822" w:rsidP="001A0822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D27238">
        <w:rPr>
          <w:rFonts w:ascii="宋体" w:hAnsi="宋体" w:hint="eastAsia"/>
          <w:sz w:val="24"/>
          <w:szCs w:val="24"/>
        </w:rPr>
        <w:t xml:space="preserve">供电管道采用砼包封，C20非泵送商品砼, </w:t>
      </w:r>
    </w:p>
    <w:p w:rsidR="001A0822" w:rsidRDefault="001A0822" w:rsidP="001A0822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D27238">
        <w:rPr>
          <w:rFonts w:ascii="宋体" w:hAnsi="宋体" w:hint="eastAsia"/>
          <w:sz w:val="24"/>
          <w:szCs w:val="24"/>
        </w:rPr>
        <w:t>回填方</w:t>
      </w:r>
      <w:r>
        <w:rPr>
          <w:rFonts w:ascii="宋体" w:hAnsi="宋体" w:hint="eastAsia"/>
          <w:sz w:val="24"/>
          <w:szCs w:val="24"/>
        </w:rPr>
        <w:t>，道路上采用</w:t>
      </w:r>
      <w:r w:rsidRPr="00D27238">
        <w:rPr>
          <w:rFonts w:ascii="宋体" w:hAnsi="宋体" w:hint="eastAsia"/>
          <w:sz w:val="24"/>
          <w:szCs w:val="24"/>
        </w:rPr>
        <w:t>6%灰土沟槽回填，</w:t>
      </w:r>
      <w:r>
        <w:rPr>
          <w:rFonts w:ascii="宋体" w:hAnsi="宋体" w:hint="eastAsia"/>
          <w:sz w:val="24"/>
          <w:szCs w:val="24"/>
        </w:rPr>
        <w:t>绿化带采用素土回填</w:t>
      </w:r>
      <w:r w:rsidRPr="00D27238">
        <w:rPr>
          <w:rFonts w:ascii="宋体" w:hAnsi="宋体" w:hint="eastAsia"/>
          <w:sz w:val="24"/>
          <w:szCs w:val="24"/>
        </w:rPr>
        <w:t>。</w:t>
      </w:r>
    </w:p>
    <w:p w:rsidR="001A0822" w:rsidRDefault="001A0822" w:rsidP="001A0822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D27238">
        <w:rPr>
          <w:rFonts w:ascii="宋体" w:hAnsi="宋体" w:hint="eastAsia"/>
          <w:sz w:val="24"/>
          <w:szCs w:val="24"/>
        </w:rPr>
        <w:t>砌筑井;砖砌电缆井,长1200*宽900*深1100,15cmC25砼垫层，370厚砖砌电缆井壁，MU10砼砖，M7.5水泥砂浆砌筑，20厚1:2水泥砂浆粉刷内侧，不锈钢包边电力井盖:1440*500*120安装，C25砼现浇压顶(非泵送)，含钢筋、模板安拆，具体做法详设计图纸</w:t>
      </w:r>
    </w:p>
    <w:p w:rsidR="001A0822" w:rsidRDefault="001A0822" w:rsidP="001A0822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D27238">
        <w:rPr>
          <w:rFonts w:ascii="宋体" w:hAnsi="宋体" w:hint="eastAsia"/>
          <w:sz w:val="24"/>
          <w:szCs w:val="24"/>
        </w:rPr>
        <w:t>砌筑井;砖砌电缆井,长1200*宽900*深1100,15cmC25砼垫层，240厚砖砌电缆井壁，MU10砼砖，M7.5水泥砂浆砌筑，20厚1:2水泥砂浆粉刷内侧，不锈钢包边电力井盖:1440*500*50安装，C25砼现浇压顶(非泵送)，含钢筋、模板安拆，具体做法详设计图纸</w:t>
      </w:r>
    </w:p>
    <w:p w:rsidR="001A0822" w:rsidRPr="00F50F8F" w:rsidRDefault="001A0822" w:rsidP="001A0822">
      <w:pPr>
        <w:spacing w:line="360" w:lineRule="auto"/>
        <w:ind w:left="315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五、</w:t>
      </w:r>
      <w:r w:rsidRPr="00F50F8F">
        <w:rPr>
          <w:rFonts w:ascii="宋体" w:hAnsi="宋体" w:cs="宋体" w:hint="eastAsia"/>
          <w:b/>
          <w:sz w:val="24"/>
          <w:szCs w:val="24"/>
        </w:rPr>
        <w:t>安装</w:t>
      </w:r>
      <w:r>
        <w:rPr>
          <w:rFonts w:ascii="宋体" w:hAnsi="宋体" w:cs="宋体" w:hint="eastAsia"/>
          <w:b/>
          <w:sz w:val="24"/>
          <w:szCs w:val="24"/>
        </w:rPr>
        <w:t>工程</w:t>
      </w:r>
    </w:p>
    <w:p w:rsidR="001A0822" w:rsidRPr="00F50F8F" w:rsidRDefault="001A0822" w:rsidP="001A0822">
      <w:pPr>
        <w:pStyle w:val="a6"/>
        <w:tabs>
          <w:tab w:val="left" w:pos="960"/>
        </w:tabs>
        <w:spacing w:line="360" w:lineRule="auto"/>
        <w:ind w:left="675" w:firstLineChars="0" w:firstLine="0"/>
        <w:rPr>
          <w:rFonts w:ascii="宋体" w:hAnsi="宋体"/>
          <w:sz w:val="24"/>
          <w:szCs w:val="24"/>
        </w:rPr>
      </w:pPr>
      <w:r w:rsidRPr="00F50F8F">
        <w:rPr>
          <w:rFonts w:ascii="宋体" w:hAnsi="宋体" w:cs="宋体" w:hint="eastAsia"/>
          <w:sz w:val="24"/>
          <w:szCs w:val="24"/>
        </w:rPr>
        <w:t>1、</w:t>
      </w:r>
      <w:r w:rsidRPr="00F50F8F">
        <w:rPr>
          <w:rFonts w:ascii="宋体" w:hAnsi="宋体"/>
          <w:sz w:val="24"/>
          <w:szCs w:val="24"/>
        </w:rPr>
        <w:t>配电房内配电柜主电源由配电房引来，由于配电柜主电源位置不明确，暂按每个</w:t>
      </w:r>
      <w:r w:rsidRPr="00F50F8F">
        <w:rPr>
          <w:rFonts w:ascii="宋体" w:hAnsi="宋体" w:hint="eastAsia"/>
          <w:sz w:val="24"/>
          <w:szCs w:val="24"/>
        </w:rPr>
        <w:t>回路</w:t>
      </w:r>
      <w:r w:rsidRPr="00F50F8F">
        <w:rPr>
          <w:rFonts w:ascii="宋体" w:hAnsi="宋体"/>
          <w:sz w:val="24"/>
          <w:szCs w:val="24"/>
        </w:rPr>
        <w:t>20米预留电缆。</w:t>
      </w:r>
    </w:p>
    <w:p w:rsidR="001A0822" w:rsidRPr="00F50F8F" w:rsidRDefault="001A0822" w:rsidP="001A0822">
      <w:pPr>
        <w:pStyle w:val="a6"/>
        <w:tabs>
          <w:tab w:val="left" w:pos="960"/>
        </w:tabs>
        <w:spacing w:line="360" w:lineRule="auto"/>
        <w:ind w:left="675" w:firstLineChars="0" w:firstLine="0"/>
        <w:rPr>
          <w:rFonts w:ascii="宋体" w:hAnsi="宋体"/>
          <w:sz w:val="24"/>
          <w:szCs w:val="24"/>
        </w:rPr>
      </w:pPr>
      <w:r w:rsidRPr="00F50F8F">
        <w:rPr>
          <w:rFonts w:ascii="宋体" w:hAnsi="宋体" w:hint="eastAsia"/>
          <w:sz w:val="24"/>
          <w:szCs w:val="24"/>
        </w:rPr>
        <w:t>2、</w:t>
      </w:r>
      <w:r w:rsidRPr="00F50F8F">
        <w:rPr>
          <w:rFonts w:ascii="宋体" w:hAnsi="宋体"/>
          <w:sz w:val="24"/>
          <w:szCs w:val="24"/>
        </w:rPr>
        <w:t>室外强电系统中仅计电缆、配电房内的配电柜1AC1、2；</w:t>
      </w:r>
      <w:r w:rsidRPr="00F50F8F">
        <w:rPr>
          <w:rFonts w:ascii="宋体" w:hAnsi="宋体" w:hint="eastAsia"/>
          <w:sz w:val="24"/>
          <w:szCs w:val="24"/>
        </w:rPr>
        <w:t>电缆保护</w:t>
      </w:r>
      <w:r w:rsidRPr="00F50F8F">
        <w:rPr>
          <w:rFonts w:ascii="宋体" w:hAnsi="宋体"/>
          <w:sz w:val="24"/>
          <w:szCs w:val="24"/>
        </w:rPr>
        <w:t>管、</w:t>
      </w:r>
      <w:r w:rsidRPr="00F50F8F">
        <w:rPr>
          <w:rFonts w:ascii="宋体" w:hAnsi="宋体"/>
          <w:sz w:val="24"/>
          <w:szCs w:val="24"/>
        </w:rPr>
        <w:lastRenderedPageBreak/>
        <w:t>挖填土及电缆井等工作量均计入土建工程内。</w:t>
      </w:r>
    </w:p>
    <w:p w:rsidR="001A0822" w:rsidRPr="00F50F8F" w:rsidRDefault="001A0822" w:rsidP="001A0822">
      <w:pPr>
        <w:pStyle w:val="a6"/>
        <w:tabs>
          <w:tab w:val="left" w:pos="960"/>
        </w:tabs>
        <w:spacing w:line="360" w:lineRule="auto"/>
        <w:ind w:left="675" w:firstLineChars="0" w:firstLine="0"/>
        <w:rPr>
          <w:rFonts w:ascii="宋体" w:hAnsi="宋体"/>
          <w:sz w:val="24"/>
          <w:szCs w:val="24"/>
        </w:rPr>
      </w:pPr>
      <w:r w:rsidRPr="00F50F8F">
        <w:rPr>
          <w:rFonts w:ascii="宋体" w:hAnsi="宋体" w:hint="eastAsia"/>
          <w:sz w:val="24"/>
          <w:szCs w:val="24"/>
        </w:rPr>
        <w:t>3、因设计图纸内容不明确，室外砂水区的供水管按暂估量考虑，工程竣工后按实结算。</w:t>
      </w:r>
    </w:p>
    <w:p w:rsidR="001A0822" w:rsidRPr="00D27238" w:rsidRDefault="001A0822" w:rsidP="001A0822">
      <w:pPr>
        <w:pStyle w:val="a6"/>
        <w:tabs>
          <w:tab w:val="left" w:pos="960"/>
        </w:tabs>
        <w:spacing w:line="360" w:lineRule="auto"/>
        <w:ind w:left="675" w:firstLineChars="0" w:firstLine="0"/>
        <w:rPr>
          <w:rFonts w:ascii="宋体" w:hAnsi="宋体"/>
          <w:sz w:val="24"/>
          <w:szCs w:val="24"/>
        </w:rPr>
      </w:pPr>
      <w:r w:rsidRPr="00F50F8F">
        <w:rPr>
          <w:rFonts w:ascii="宋体" w:hAnsi="宋体" w:hint="eastAsia"/>
          <w:sz w:val="24"/>
          <w:szCs w:val="24"/>
        </w:rPr>
        <w:t>4、室外弱电系统埋地敷设的电缆保护管、挖填土及电缆井等工作量均计入土建工程内；</w:t>
      </w:r>
    </w:p>
    <w:p w:rsidR="00B151BD" w:rsidRDefault="001A0822" w:rsidP="001A0822">
      <w:pPr>
        <w:pStyle w:val="a6"/>
        <w:adjustRightInd w:val="0"/>
        <w:snapToGrid w:val="0"/>
        <w:spacing w:line="360" w:lineRule="auto"/>
        <w:ind w:left="120" w:firstLineChars="0" w:firstLine="0"/>
        <w:rPr>
          <w:rFonts w:ascii="宋体" w:hAnsi="宋体" w:hint="eastAsia"/>
          <w:sz w:val="24"/>
          <w:szCs w:val="24"/>
        </w:rPr>
      </w:pPr>
      <w:r w:rsidRPr="00D27238">
        <w:rPr>
          <w:rFonts w:ascii="宋体" w:hAnsi="宋体" w:hint="eastAsia"/>
          <w:sz w:val="24"/>
          <w:szCs w:val="24"/>
        </w:rPr>
        <w:t xml:space="preserve">                                </w:t>
      </w:r>
      <w:r w:rsidR="00B151BD">
        <w:rPr>
          <w:rFonts w:ascii="宋体" w:hAnsi="宋体" w:hint="eastAsia"/>
          <w:sz w:val="24"/>
          <w:szCs w:val="24"/>
        </w:rPr>
        <w:t xml:space="preserve">  </w:t>
      </w:r>
    </w:p>
    <w:p w:rsidR="00B151BD" w:rsidRDefault="00B151BD" w:rsidP="001A0822">
      <w:pPr>
        <w:pStyle w:val="a6"/>
        <w:adjustRightInd w:val="0"/>
        <w:snapToGrid w:val="0"/>
        <w:spacing w:line="360" w:lineRule="auto"/>
        <w:ind w:left="120" w:firstLineChars="0" w:firstLine="0"/>
        <w:rPr>
          <w:rFonts w:ascii="宋体" w:hAnsi="宋体" w:hint="eastAsia"/>
          <w:sz w:val="24"/>
          <w:szCs w:val="24"/>
        </w:rPr>
      </w:pPr>
    </w:p>
    <w:p w:rsidR="00B151BD" w:rsidRDefault="00B151BD" w:rsidP="001A0822">
      <w:pPr>
        <w:pStyle w:val="a6"/>
        <w:adjustRightInd w:val="0"/>
        <w:snapToGrid w:val="0"/>
        <w:spacing w:line="360" w:lineRule="auto"/>
        <w:ind w:left="120" w:firstLineChars="0" w:firstLine="0"/>
        <w:rPr>
          <w:rFonts w:ascii="宋体" w:hAnsi="宋体" w:hint="eastAsia"/>
          <w:sz w:val="24"/>
          <w:szCs w:val="24"/>
        </w:rPr>
      </w:pPr>
    </w:p>
    <w:p w:rsidR="00B151BD" w:rsidRDefault="00B151BD" w:rsidP="001A0822">
      <w:pPr>
        <w:pStyle w:val="a6"/>
        <w:adjustRightInd w:val="0"/>
        <w:snapToGrid w:val="0"/>
        <w:spacing w:line="360" w:lineRule="auto"/>
        <w:ind w:left="120" w:firstLineChars="0" w:firstLine="0"/>
        <w:rPr>
          <w:rFonts w:ascii="宋体" w:hAnsi="宋体" w:hint="eastAsia"/>
          <w:sz w:val="24"/>
          <w:szCs w:val="24"/>
        </w:rPr>
      </w:pPr>
    </w:p>
    <w:p w:rsidR="001A0822" w:rsidRPr="00D27238" w:rsidRDefault="001A0822" w:rsidP="00B151BD">
      <w:pPr>
        <w:pStyle w:val="a6"/>
        <w:adjustRightInd w:val="0"/>
        <w:snapToGrid w:val="0"/>
        <w:spacing w:line="360" w:lineRule="auto"/>
        <w:ind w:leftChars="57" w:left="120" w:firstLineChars="1900" w:firstLine="4560"/>
        <w:rPr>
          <w:rFonts w:ascii="宋体" w:hAnsi="宋体"/>
          <w:sz w:val="24"/>
          <w:szCs w:val="24"/>
        </w:rPr>
      </w:pPr>
      <w:r w:rsidRPr="00D27238">
        <w:rPr>
          <w:rFonts w:ascii="宋体" w:hAnsi="宋体" w:hint="eastAsia"/>
          <w:sz w:val="24"/>
          <w:szCs w:val="24"/>
        </w:rPr>
        <w:t>江苏信达建设工程咨询有限公司</w:t>
      </w:r>
    </w:p>
    <w:p w:rsidR="001A0822" w:rsidRPr="000E6CB2" w:rsidRDefault="001A0822" w:rsidP="001A0822">
      <w:pPr>
        <w:spacing w:line="360" w:lineRule="auto"/>
        <w:ind w:leftChars="228" w:left="839" w:hangingChars="150" w:hanging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   2020.6.14</w:t>
      </w:r>
    </w:p>
    <w:p w:rsidR="002F6EBF" w:rsidRDefault="002F6EBF"/>
    <w:sectPr w:rsidR="002F6EBF" w:rsidSect="00F15296">
      <w:headerReference w:type="default" r:id="rId7"/>
      <w:footerReference w:type="even" r:id="rId8"/>
      <w:footerReference w:type="default" r:id="rId9"/>
      <w:pgSz w:w="11906" w:h="16838"/>
      <w:pgMar w:top="1440" w:right="1797" w:bottom="567" w:left="1785" w:header="851" w:footer="992" w:gutter="0"/>
      <w:pgBorders w:offsetFrom="page">
        <w:top w:val="single" w:sz="20" w:space="24" w:color="FF0000"/>
        <w:left w:val="single" w:sz="20" w:space="24" w:color="FF0000"/>
        <w:bottom w:val="single" w:sz="20" w:space="24" w:color="FF0000"/>
        <w:right w:val="single" w:sz="20" w:space="24" w:color="FF0000"/>
      </w:pgBorders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5B2" w:rsidRDefault="000365B2" w:rsidP="00D47E3D">
      <w:r>
        <w:separator/>
      </w:r>
    </w:p>
  </w:endnote>
  <w:endnote w:type="continuationSeparator" w:id="0">
    <w:p w:rsidR="000365B2" w:rsidRDefault="000365B2" w:rsidP="00D47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96" w:rsidRDefault="00D47E3D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861AF8">
      <w:rPr>
        <w:rStyle w:val="a3"/>
      </w:rPr>
      <w:instrText xml:space="preserve">PAGE  </w:instrText>
    </w:r>
    <w:r>
      <w:fldChar w:fldCharType="end"/>
    </w:r>
  </w:p>
  <w:p w:rsidR="00F15296" w:rsidRDefault="000365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96" w:rsidRDefault="00D47E3D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861AF8">
      <w:rPr>
        <w:rStyle w:val="a3"/>
      </w:rPr>
      <w:instrText xml:space="preserve">PAGE  </w:instrText>
    </w:r>
    <w:r>
      <w:fldChar w:fldCharType="separate"/>
    </w:r>
    <w:r w:rsidR="00B151BD">
      <w:rPr>
        <w:rStyle w:val="a3"/>
        <w:noProof/>
      </w:rPr>
      <w:t>4</w:t>
    </w:r>
    <w:r>
      <w:fldChar w:fldCharType="end"/>
    </w:r>
  </w:p>
  <w:p w:rsidR="00F15296" w:rsidRDefault="000365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5B2" w:rsidRDefault="000365B2" w:rsidP="00D47E3D">
      <w:r>
        <w:separator/>
      </w:r>
    </w:p>
  </w:footnote>
  <w:footnote w:type="continuationSeparator" w:id="0">
    <w:p w:rsidR="000365B2" w:rsidRDefault="000365B2" w:rsidP="00D47E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96" w:rsidRDefault="000365B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BAD"/>
    <w:multiLevelType w:val="hybridMultilevel"/>
    <w:tmpl w:val="30AC7E6A"/>
    <w:lvl w:ilvl="0" w:tplc="3B08317E">
      <w:start w:val="9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1032713F"/>
    <w:multiLevelType w:val="hybridMultilevel"/>
    <w:tmpl w:val="D562BA78"/>
    <w:lvl w:ilvl="0" w:tplc="47C6F74A">
      <w:start w:val="1"/>
      <w:numFmt w:val="decimal"/>
      <w:lvlText w:val="%1、"/>
      <w:lvlJc w:val="left"/>
      <w:pPr>
        <w:ind w:left="840" w:hanging="720"/>
      </w:pPr>
      <w:rPr>
        <w:rFonts w:asciiTheme="minorEastAsia" w:eastAsiaTheme="minorEastAsia" w:hAnsiTheme="minorEastAsia" w:cs="仿宋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2">
    <w:nsid w:val="7BB8278B"/>
    <w:multiLevelType w:val="multilevel"/>
    <w:tmpl w:val="7BB8278B"/>
    <w:lvl w:ilvl="0">
      <w:start w:val="1"/>
      <w:numFmt w:val="decimal"/>
      <w:lvlText w:val="%1、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55"/>
        </w:tabs>
        <w:ind w:left="1155" w:hanging="420"/>
      </w:pPr>
    </w:lvl>
    <w:lvl w:ilvl="2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</w:lvl>
    <w:lvl w:ilvl="3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</w:lvl>
    <w:lvl w:ilvl="6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</w:lvl>
    <w:lvl w:ilvl="8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0822"/>
    <w:rsid w:val="000365B2"/>
    <w:rsid w:val="001A0822"/>
    <w:rsid w:val="002F6EBF"/>
    <w:rsid w:val="00861AF8"/>
    <w:rsid w:val="00B151BD"/>
    <w:rsid w:val="00D4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2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A0822"/>
  </w:style>
  <w:style w:type="character" w:customStyle="1" w:styleId="Char">
    <w:name w:val="页眉 Char"/>
    <w:link w:val="a4"/>
    <w:rsid w:val="001A0822"/>
    <w:rPr>
      <w:sz w:val="18"/>
    </w:rPr>
  </w:style>
  <w:style w:type="paragraph" w:styleId="a4">
    <w:name w:val="header"/>
    <w:basedOn w:val="a"/>
    <w:link w:val="Char"/>
    <w:rsid w:val="001A0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眉 Char1"/>
    <w:basedOn w:val="a0"/>
    <w:link w:val="a4"/>
    <w:uiPriority w:val="99"/>
    <w:semiHidden/>
    <w:rsid w:val="001A082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1A082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rsid w:val="001A0822"/>
    <w:rPr>
      <w:rFonts w:ascii="Times New Roman" w:eastAsia="宋体" w:hAnsi="Times New Roman" w:cs="Times New Roman"/>
      <w:sz w:val="18"/>
      <w:szCs w:val="20"/>
    </w:rPr>
  </w:style>
  <w:style w:type="paragraph" w:styleId="a6">
    <w:name w:val="List Paragraph"/>
    <w:basedOn w:val="a"/>
    <w:qFormat/>
    <w:rsid w:val="001A0822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367</Words>
  <Characters>2093</Characters>
  <Application>Microsoft Office Word</Application>
  <DocSecurity>0</DocSecurity>
  <Lines>17</Lines>
  <Paragraphs>4</Paragraphs>
  <ScaleCrop>false</ScaleCrop>
  <Company>中国石油大学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3</cp:revision>
  <dcterms:created xsi:type="dcterms:W3CDTF">2020-06-16T02:33:00Z</dcterms:created>
  <dcterms:modified xsi:type="dcterms:W3CDTF">2020-06-16T02:37:00Z</dcterms:modified>
</cp:coreProperties>
</file>