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2" w:firstLineChars="150"/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溧城街道青龙山人文陵园散坟集中区改造工程</w:t>
      </w:r>
    </w:p>
    <w:p>
      <w:pPr>
        <w:ind w:firstLine="602" w:firstLineChars="150"/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编制说明</w:t>
      </w:r>
    </w:p>
    <w:p>
      <w:pPr>
        <w:numPr>
          <w:ilvl w:val="0"/>
          <w:numId w:val="1"/>
        </w:numPr>
        <w:spacing w:line="6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8"/>
          <w:szCs w:val="28"/>
        </w:rPr>
        <w:t>工程概况</w:t>
      </w:r>
    </w:p>
    <w:p>
      <w:pPr>
        <w:spacing w:line="600" w:lineRule="exact"/>
        <w:ind w:firstLine="48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本工程</w:t>
      </w:r>
      <w:r>
        <w:rPr>
          <w:rFonts w:hint="eastAsia" w:ascii="宋体" w:hAnsi="宋体" w:cs="宋体"/>
          <w:sz w:val="24"/>
          <w:lang w:val="en-US" w:eastAsia="zh-CN"/>
        </w:rPr>
        <w:t>位于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溧阳市溧城街道青龙山人文陵园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</w:rPr>
        <w:t>工程内容包括</w:t>
      </w:r>
      <w:r>
        <w:rPr>
          <w:rFonts w:hint="eastAsia" w:ascii="宋体" w:hAnsi="宋体" w:cs="宋体"/>
          <w:sz w:val="24"/>
          <w:lang w:val="en-US" w:eastAsia="zh-CN"/>
        </w:rPr>
        <w:t>拆除工程、地面铺装、陵园工具堆放处、排水沟修补增加盖板、挡土墙外墙改造、新增围墙围栏、原有墙面出新工程等</w:t>
      </w:r>
      <w:r>
        <w:rPr>
          <w:rFonts w:hint="eastAsia" w:ascii="宋体" w:hAnsi="宋体" w:cs="宋体"/>
          <w:sz w:val="24"/>
        </w:rPr>
        <w:t>。具体内容详见清单。</w:t>
      </w:r>
    </w:p>
    <w:p>
      <w:pPr>
        <w:spacing w:line="360" w:lineRule="auto"/>
        <w:ind w:firstLine="480"/>
        <w:rPr>
          <w:rFonts w:ascii="宋体" w:hAnsi="宋体" w:cs="宋体"/>
          <w:sz w:val="24"/>
        </w:rPr>
      </w:pPr>
    </w:p>
    <w:p>
      <w:pPr>
        <w:numPr>
          <w:ilvl w:val="0"/>
          <w:numId w:val="1"/>
        </w:numPr>
        <w:spacing w:line="48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编制依据</w:t>
      </w:r>
    </w:p>
    <w:p>
      <w:pPr>
        <w:numPr>
          <w:ilvl w:val="0"/>
          <w:numId w:val="2"/>
        </w:numPr>
        <w:spacing w:line="600" w:lineRule="exact"/>
        <w:ind w:left="485" w:hanging="484" w:hanging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设计施工图</w:t>
      </w:r>
    </w:p>
    <w:p>
      <w:pPr>
        <w:numPr>
          <w:ilvl w:val="0"/>
          <w:numId w:val="2"/>
        </w:numPr>
        <w:spacing w:line="600" w:lineRule="exact"/>
        <w:ind w:left="485" w:hanging="484" w:hanging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江苏省住房和城乡建设厅</w:t>
      </w:r>
      <w:r>
        <w:rPr>
          <w:rFonts w:ascii="宋体" w:hAnsi="宋体" w:cs="宋体"/>
          <w:sz w:val="24"/>
        </w:rPr>
        <w:t>〔</w:t>
      </w:r>
      <w:r>
        <w:rPr>
          <w:rFonts w:hint="eastAsia" w:ascii="宋体" w:hAnsi="宋体" w:cs="宋体"/>
          <w:sz w:val="24"/>
        </w:rPr>
        <w:t>2020</w:t>
      </w:r>
      <w:r>
        <w:rPr>
          <w:rFonts w:ascii="宋体" w:hAnsi="宋体" w:cs="宋体"/>
          <w:sz w:val="24"/>
        </w:rPr>
        <w:t>〕</w:t>
      </w:r>
      <w:r>
        <w:rPr>
          <w:rFonts w:hint="eastAsia" w:ascii="宋体" w:hAnsi="宋体" w:cs="宋体"/>
          <w:sz w:val="24"/>
        </w:rPr>
        <w:t>第224</w:t>
      </w:r>
      <w:r>
        <w:rPr>
          <w:rFonts w:ascii="宋体" w:hAnsi="宋体" w:cs="宋体"/>
          <w:sz w:val="24"/>
        </w:rPr>
        <w:t>号</w:t>
      </w:r>
      <w:r>
        <w:rPr>
          <w:rFonts w:hint="eastAsia" w:ascii="宋体" w:hAnsi="宋体" w:cs="宋体"/>
          <w:sz w:val="24"/>
        </w:rPr>
        <w:t>文</w:t>
      </w:r>
    </w:p>
    <w:p>
      <w:pPr>
        <w:numPr>
          <w:ilvl w:val="0"/>
          <w:numId w:val="2"/>
        </w:numPr>
        <w:spacing w:line="600" w:lineRule="exact"/>
        <w:ind w:left="485" w:hanging="484" w:hangingChars="202"/>
        <w:jc w:val="left"/>
        <w:rPr>
          <w:rFonts w:ascii="宋体" w:hAnsi="宋体" w:cs="宋体"/>
          <w:sz w:val="24"/>
        </w:rPr>
      </w:pPr>
      <w:bookmarkStart w:id="0" w:name="OLE_LINK2"/>
      <w:bookmarkStart w:id="1" w:name="OLE_LINK1"/>
      <w:r>
        <w:rPr>
          <w:rFonts w:hint="eastAsia" w:ascii="宋体" w:hAnsi="宋体" w:cs="宋体"/>
          <w:sz w:val="24"/>
        </w:rPr>
        <w:t>《建设工程工程量清单计价规范》（GB50500-2013）</w:t>
      </w:r>
      <w:bookmarkEnd w:id="0"/>
      <w:bookmarkEnd w:id="1"/>
    </w:p>
    <w:p>
      <w:pPr>
        <w:numPr>
          <w:ilvl w:val="0"/>
          <w:numId w:val="2"/>
        </w:numPr>
        <w:spacing w:line="600" w:lineRule="exact"/>
        <w:ind w:left="485" w:hanging="484" w:hanging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《房屋建筑与装饰工程工程量计算规范》(GB50854-2013)</w:t>
      </w:r>
    </w:p>
    <w:p>
      <w:pPr>
        <w:numPr>
          <w:ilvl w:val="0"/>
          <w:numId w:val="2"/>
        </w:numPr>
        <w:spacing w:line="600" w:lineRule="exact"/>
        <w:ind w:left="485" w:hanging="484" w:hanging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《江苏省建设工程费用定额（2014年）营改增</w:t>
      </w:r>
    </w:p>
    <w:p>
      <w:pPr>
        <w:numPr>
          <w:ilvl w:val="0"/>
          <w:numId w:val="2"/>
        </w:numPr>
        <w:spacing w:line="600" w:lineRule="exact"/>
        <w:ind w:left="485" w:hanging="484" w:hanging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2014年《江苏省市政工程计价定额》</w:t>
      </w:r>
    </w:p>
    <w:p>
      <w:pPr>
        <w:numPr>
          <w:ilvl w:val="0"/>
          <w:numId w:val="2"/>
        </w:numPr>
        <w:spacing w:line="600" w:lineRule="exact"/>
        <w:ind w:left="485" w:hanging="484" w:hanging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2014年《江苏省建筑与装饰工程计价定额》</w:t>
      </w:r>
    </w:p>
    <w:p>
      <w:pPr>
        <w:numPr>
          <w:ilvl w:val="0"/>
          <w:numId w:val="2"/>
        </w:numPr>
        <w:spacing w:line="600" w:lineRule="exact"/>
        <w:ind w:left="485" w:hanging="484" w:hangingChars="2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2007年</w:t>
      </w:r>
      <w:r>
        <w:rPr>
          <w:rFonts w:hint="eastAsia" w:ascii="宋体" w:hAnsi="宋体" w:cs="宋体"/>
          <w:sz w:val="24"/>
        </w:rPr>
        <w:t>《江苏省</w:t>
      </w:r>
      <w:r>
        <w:rPr>
          <w:rFonts w:hint="eastAsia" w:ascii="宋体" w:hAnsi="宋体" w:cs="宋体"/>
          <w:sz w:val="24"/>
          <w:lang w:val="en-US" w:eastAsia="zh-CN"/>
        </w:rPr>
        <w:t>园林</w:t>
      </w:r>
      <w:r>
        <w:rPr>
          <w:rFonts w:hint="eastAsia" w:ascii="宋体" w:hAnsi="宋体" w:cs="宋体"/>
          <w:sz w:val="24"/>
        </w:rPr>
        <w:t>工程计价定额》</w:t>
      </w:r>
    </w:p>
    <w:p>
      <w:pPr>
        <w:numPr>
          <w:ilvl w:val="0"/>
          <w:numId w:val="2"/>
        </w:numPr>
        <w:spacing w:line="600" w:lineRule="exact"/>
        <w:ind w:left="485" w:hanging="484" w:hangingChars="202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江苏省建设工程人工工资指导价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</w:rPr>
        <w:t>苏建函价〔</w:t>
      </w:r>
      <w:r>
        <w:rPr>
          <w:rFonts w:hint="eastAsia" w:ascii="宋体" w:hAnsi="宋体" w:cs="宋体"/>
          <w:sz w:val="24"/>
        </w:rPr>
        <w:t>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ascii="宋体" w:hAnsi="宋体" w:cs="宋体"/>
          <w:sz w:val="24"/>
        </w:rPr>
        <w:t>〕</w:t>
      </w:r>
      <w:r>
        <w:rPr>
          <w:rFonts w:hint="eastAsia" w:ascii="宋体" w:hAnsi="宋体" w:cs="宋体"/>
          <w:sz w:val="24"/>
          <w:lang w:val="en-US" w:eastAsia="zh-CN"/>
        </w:rPr>
        <w:t>391</w:t>
      </w:r>
      <w:r>
        <w:rPr>
          <w:rFonts w:ascii="宋体" w:hAnsi="宋体" w:cs="宋体"/>
          <w:sz w:val="24"/>
        </w:rPr>
        <w:t>号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取费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费率</w:t>
      </w:r>
    </w:p>
    <w:tbl>
      <w:tblPr>
        <w:tblStyle w:val="5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3636"/>
        <w:gridCol w:w="2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取费基数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园林工程</w:t>
            </w:r>
            <w:r>
              <w:rPr>
                <w:rFonts w:hint="eastAsia" w:ascii="宋体" w:hAnsi="宋体" w:eastAsia="宋体" w:cs="宋体"/>
                <w:sz w:val="24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管理费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人工费+机械费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(机械费不用于园林绿化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交通设施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和安装工程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)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利润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人工费+机械费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(机械费不用于园林绿化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交通设施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和安装工程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)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现场安全文明施工基本费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分部分项工程费+单价措施项目费-除税工程设备费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扬尘污染防治增加费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分部分项工程费+单价措施项目费-除税工程设备费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临时设施费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分部分项工程费+单价措施项目费-除税工程设备费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建筑工人实名制费用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分部分项工程费+单价措施项目费-除税工程设备费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0.0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社会保险费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分部分项工程费+措施项目费+其他项目费-除税工程设备费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住房公积金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分部分项工程费+措施项目费+其他项目费-除税工程设备费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30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税金</w:t>
            </w:r>
          </w:p>
        </w:tc>
        <w:tc>
          <w:tcPr>
            <w:tcW w:w="36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分部分项工程费+措施项目费+其他项目费+规费-除税甲供材料和甲供设备费/1.01</w:t>
            </w:r>
          </w:p>
        </w:tc>
        <w:tc>
          <w:tcPr>
            <w:tcW w:w="22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</w:tr>
    </w:tbl>
    <w:p>
      <w:pPr>
        <w:spacing w:line="480" w:lineRule="auto"/>
        <w:rPr>
          <w:rFonts w:ascii="宋体" w:hAnsi="宋体" w:cs="宋体"/>
          <w:b/>
          <w:sz w:val="28"/>
          <w:szCs w:val="28"/>
        </w:rPr>
      </w:pPr>
    </w:p>
    <w:p>
      <w:pPr>
        <w:numPr>
          <w:ilvl w:val="0"/>
          <w:numId w:val="1"/>
        </w:numPr>
        <w:spacing w:line="600" w:lineRule="exact"/>
        <w:rPr>
          <w:rFonts w:ascii="宋体" w:hAnsi="宋体" w:cs="宋体"/>
          <w:b/>
          <w:sz w:val="28"/>
          <w:szCs w:val="28"/>
          <w:lang w:val="zh-CN"/>
        </w:rPr>
      </w:pPr>
      <w:r>
        <w:rPr>
          <w:rFonts w:hint="eastAsia" w:ascii="宋体" w:hAnsi="宋体" w:cs="宋体"/>
          <w:b/>
          <w:sz w:val="28"/>
          <w:szCs w:val="28"/>
          <w:lang w:val="zh-CN"/>
        </w:rPr>
        <w:t>其他</w:t>
      </w:r>
    </w:p>
    <w:p>
      <w:pPr>
        <w:numPr>
          <w:ilvl w:val="0"/>
          <w:numId w:val="3"/>
        </w:numPr>
        <w:spacing w:line="600" w:lineRule="exact"/>
        <w:ind w:left="485" w:hanging="484" w:hangingChars="20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依据图纸</w:t>
      </w:r>
      <w:r>
        <w:rPr>
          <w:rFonts w:hint="eastAsia" w:ascii="宋体" w:hAnsi="宋体" w:cs="宋体"/>
          <w:sz w:val="24"/>
          <w:lang w:val="en-US" w:eastAsia="zh-CN"/>
        </w:rPr>
        <w:t>提供的工程量计算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具体工程量以实际甲方认可的工程量为准</w:t>
      </w:r>
      <w:r>
        <w:rPr>
          <w:rFonts w:hint="eastAsia" w:ascii="宋体" w:hAnsi="宋体" w:cs="宋体"/>
          <w:sz w:val="24"/>
        </w:rPr>
        <w:t>；</w:t>
      </w:r>
    </w:p>
    <w:p>
      <w:pPr>
        <w:numPr>
          <w:ilvl w:val="0"/>
          <w:numId w:val="3"/>
        </w:numPr>
        <w:spacing w:line="600" w:lineRule="exact"/>
        <w:ind w:left="485" w:hanging="484" w:hangingChars="20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材料价格按《常州市工程造价信息指导价》202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第</w:t>
      </w: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期；</w:t>
      </w:r>
    </w:p>
    <w:p>
      <w:pPr>
        <w:numPr>
          <w:ilvl w:val="0"/>
          <w:numId w:val="3"/>
        </w:numPr>
        <w:spacing w:line="600" w:lineRule="exact"/>
        <w:ind w:left="485" w:hanging="484" w:hanging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常州信息</w:t>
      </w:r>
      <w:r>
        <w:rPr>
          <w:rFonts w:hint="eastAsia" w:ascii="宋体" w:hAnsi="宋体" w:cs="宋体"/>
          <w:sz w:val="24"/>
        </w:rPr>
        <w:t>价</w:t>
      </w:r>
      <w:r>
        <w:rPr>
          <w:rFonts w:hint="eastAsia" w:ascii="宋体" w:hAnsi="宋体" w:cs="宋体"/>
          <w:sz w:val="24"/>
          <w:lang w:val="en-US" w:eastAsia="zh-CN"/>
        </w:rPr>
        <w:t>中没有相应</w:t>
      </w:r>
      <w:r>
        <w:rPr>
          <w:rFonts w:hint="eastAsia" w:ascii="宋体" w:hAnsi="宋体" w:cs="宋体"/>
          <w:sz w:val="24"/>
        </w:rPr>
        <w:t>材料</w:t>
      </w:r>
      <w:r>
        <w:rPr>
          <w:rFonts w:hint="eastAsia" w:ascii="宋体" w:hAnsi="宋体" w:cs="宋体"/>
          <w:sz w:val="24"/>
          <w:lang w:val="en-US" w:eastAsia="zh-CN"/>
        </w:rPr>
        <w:t>价格时，参照附近城市信息价及</w:t>
      </w:r>
      <w:r>
        <w:rPr>
          <w:rFonts w:hint="eastAsia" w:ascii="宋体" w:hAnsi="宋体" w:cs="宋体"/>
          <w:sz w:val="24"/>
        </w:rPr>
        <w:t>市场行情；</w:t>
      </w:r>
    </w:p>
    <w:p>
      <w:pPr>
        <w:pStyle w:val="9"/>
        <w:numPr>
          <w:ilvl w:val="0"/>
          <w:numId w:val="3"/>
        </w:numPr>
        <w:spacing w:line="48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暂列金</w:t>
      </w:r>
      <w:r>
        <w:rPr>
          <w:rFonts w:hint="eastAsia" w:ascii="宋体" w:hAnsi="宋体" w:cs="宋体"/>
          <w:sz w:val="24"/>
          <w:lang w:val="en-US" w:eastAsia="zh-CN"/>
        </w:rPr>
        <w:t>详见清单计价文件</w:t>
      </w:r>
      <w:r>
        <w:rPr>
          <w:rFonts w:hint="eastAsia" w:ascii="宋体" w:hAnsi="宋体" w:cs="宋体"/>
          <w:sz w:val="24"/>
        </w:rPr>
        <w:t>；</w:t>
      </w:r>
    </w:p>
    <w:p>
      <w:pPr>
        <w:pStyle w:val="9"/>
        <w:numPr>
          <w:ilvl w:val="0"/>
          <w:numId w:val="3"/>
        </w:numPr>
        <w:spacing w:line="48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现场祭扫区、区域之间的道路以及公共区域的场地考虑全部拆除，拆除方式按一半人工、一般机械拆除考虑，具体拆除范围需与甲方设计确认；</w:t>
      </w:r>
    </w:p>
    <w:p>
      <w:pPr>
        <w:pStyle w:val="9"/>
        <w:numPr>
          <w:ilvl w:val="0"/>
          <w:numId w:val="3"/>
        </w:numPr>
        <w:spacing w:line="48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排水沟考虑部分破损修复，工程量暂估，具体工程量以现场实际为准；</w:t>
      </w:r>
    </w:p>
    <w:p>
      <w:pPr>
        <w:pStyle w:val="9"/>
        <w:numPr>
          <w:ilvl w:val="0"/>
          <w:numId w:val="3"/>
        </w:numPr>
        <w:spacing w:line="48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排（泄）水管</w:t>
      </w:r>
      <w:r>
        <w:rPr>
          <w:rFonts w:hint="eastAsia" w:ascii="宋体" w:hAnsi="宋体" w:cs="宋体"/>
          <w:sz w:val="24"/>
          <w:lang w:val="en-US" w:eastAsia="zh-CN"/>
        </w:rPr>
        <w:t>工程量暂估，具体工程量以现场</w:t>
      </w:r>
      <w:bookmarkStart w:id="2" w:name="_GoBack"/>
      <w:bookmarkEnd w:id="2"/>
      <w:r>
        <w:rPr>
          <w:rFonts w:hint="eastAsia" w:ascii="宋体" w:hAnsi="宋体" w:cs="宋体"/>
          <w:sz w:val="24"/>
          <w:lang w:val="en-US" w:eastAsia="zh-CN"/>
        </w:rPr>
        <w:t>实际为准；</w:t>
      </w:r>
    </w:p>
    <w:p>
      <w:pPr>
        <w:pStyle w:val="9"/>
        <w:numPr>
          <w:ilvl w:val="0"/>
          <w:numId w:val="3"/>
        </w:numPr>
        <w:spacing w:line="48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原有挡土墙考虑面层青苔清理、部分破损处考虑砂浆修补；</w:t>
      </w:r>
    </w:p>
    <w:p>
      <w:pPr>
        <w:pStyle w:val="9"/>
        <w:numPr>
          <w:ilvl w:val="0"/>
          <w:numId w:val="3"/>
        </w:numPr>
        <w:spacing w:line="48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土方工程量暂估，具体以现场实际为准；</w:t>
      </w:r>
    </w:p>
    <w:p>
      <w:pPr>
        <w:pStyle w:val="9"/>
        <w:numPr>
          <w:ilvl w:val="0"/>
          <w:numId w:val="3"/>
        </w:numPr>
        <w:spacing w:line="48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原有涂料出新，暂按3遍腻子、3遍涂料考虑；</w:t>
      </w:r>
    </w:p>
    <w:p>
      <w:pPr>
        <w:pStyle w:val="9"/>
        <w:numPr>
          <w:ilvl w:val="0"/>
          <w:numId w:val="3"/>
        </w:numPr>
        <w:spacing w:line="600" w:lineRule="exact"/>
        <w:ind w:left="485" w:hanging="484" w:hangingChars="202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sz w:val="24"/>
        </w:rPr>
        <w:t>本工程推荐使用品牌见“类似材料、设备品牌一览表”，投标单位可使用“类似材料、设备品牌一览表”中的优等品或同等档次、质量为优等品的其他品牌，如投标人拟在推荐所有材料品牌外自行选择品牌，须在投标人要求澄清招标文件的截止时间前提出，招标人将对该品牌的性能、技术指标、技术参数、质量、使用寿命等方面进行审查，如该品牌均不低于可选品牌相应性能、技术指标、技术参数、质量、使用寿命等方面的要求，招标人将补充该品牌至招标文件推荐品牌中，并以招标文件补充文件形式公开发布至所有投标人。投标人在投标时应明确所选的材料品牌，如果投标人在投标文件中未明确材料品牌，中标后由中标人与招标人协商，在招标人提供的“类似材料、设备品牌一览表”中选择材料品牌，且投标报价不作调整</w:t>
      </w:r>
    </w:p>
    <w:p>
      <w:pPr>
        <w:pStyle w:val="9"/>
        <w:numPr>
          <w:ilvl w:val="0"/>
          <w:numId w:val="0"/>
        </w:numPr>
        <w:spacing w:line="600" w:lineRule="exact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类似材料、设备品牌一览表</w:t>
      </w:r>
    </w:p>
    <w:p>
      <w:pPr>
        <w:pStyle w:val="9"/>
        <w:numPr>
          <w:ilvl w:val="0"/>
          <w:numId w:val="0"/>
        </w:numPr>
        <w:spacing w:line="600" w:lineRule="exact"/>
        <w:rPr>
          <w:rFonts w:hint="eastAsia" w:ascii="宋体" w:hAnsi="宋体" w:cs="宋体"/>
          <w:b w:val="0"/>
          <w:bCs w:val="0"/>
          <w:sz w:val="24"/>
        </w:rPr>
      </w:pPr>
    </w:p>
    <w:p>
      <w:pPr>
        <w:pStyle w:val="9"/>
        <w:numPr>
          <w:ilvl w:val="0"/>
          <w:numId w:val="0"/>
        </w:numPr>
        <w:spacing w:line="600" w:lineRule="exact"/>
        <w:rPr>
          <w:rFonts w:hint="eastAsia" w:ascii="宋体" w:hAnsi="宋体" w:cs="宋体"/>
          <w:b w:val="0"/>
          <w:bCs w:val="0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1963"/>
        <w:gridCol w:w="2268"/>
        <w:gridCol w:w="3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1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材料、设备名称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供应场家和产地</w:t>
            </w: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cs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花岗岩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万通、鑫源顺、赤峰</w:t>
            </w: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类似于所列品牌产品中的优等品或同等档次、质量为优等品的其他品牌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水泥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金峰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扬子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南方</w:t>
            </w: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类似于所列品牌产品中的优等品或同等档次、质量为优等品的其他品牌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盖板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卜浪、绿畅、中诺</w:t>
            </w:r>
          </w:p>
        </w:tc>
        <w:tc>
          <w:tcPr>
            <w:tcW w:w="31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类似于所列品牌产品中的优等品或同等档次、质量为优等品的其他品牌</w:t>
            </w:r>
          </w:p>
        </w:tc>
      </w:tr>
    </w:tbl>
    <w:p>
      <w:pPr>
        <w:pStyle w:val="9"/>
        <w:spacing w:line="480" w:lineRule="auto"/>
        <w:ind w:firstLine="0" w:firstLineChars="0"/>
        <w:rPr>
          <w:rFonts w:ascii="宋体" w:hAnsi="宋体" w:cs="宋体"/>
          <w:sz w:val="24"/>
        </w:rPr>
      </w:pPr>
    </w:p>
    <w:sectPr>
      <w:pgSz w:w="11906" w:h="16838"/>
      <w:pgMar w:top="1440" w:right="1418" w:bottom="130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E65B53"/>
    <w:multiLevelType w:val="multilevel"/>
    <w:tmpl w:val="2BE65B53"/>
    <w:lvl w:ilvl="0" w:tentative="0">
      <w:start w:val="1"/>
      <w:numFmt w:val="japaneseCounting"/>
      <w:lvlText w:val="%1、"/>
      <w:lvlJc w:val="left"/>
      <w:pPr>
        <w:ind w:left="474" w:hanging="4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58" w:hanging="420"/>
      </w:pPr>
    </w:lvl>
    <w:lvl w:ilvl="2" w:tentative="0">
      <w:start w:val="1"/>
      <w:numFmt w:val="lowerRoman"/>
      <w:lvlText w:val="%3."/>
      <w:lvlJc w:val="right"/>
      <w:pPr>
        <w:ind w:left="1278" w:hanging="420"/>
      </w:pPr>
    </w:lvl>
    <w:lvl w:ilvl="3" w:tentative="0">
      <w:start w:val="1"/>
      <w:numFmt w:val="decimal"/>
      <w:lvlText w:val="%4."/>
      <w:lvlJc w:val="left"/>
      <w:pPr>
        <w:ind w:left="1698" w:hanging="420"/>
      </w:pPr>
    </w:lvl>
    <w:lvl w:ilvl="4" w:tentative="0">
      <w:start w:val="1"/>
      <w:numFmt w:val="lowerLetter"/>
      <w:lvlText w:val="%5)"/>
      <w:lvlJc w:val="left"/>
      <w:pPr>
        <w:ind w:left="2118" w:hanging="420"/>
      </w:pPr>
    </w:lvl>
    <w:lvl w:ilvl="5" w:tentative="0">
      <w:start w:val="1"/>
      <w:numFmt w:val="lowerRoman"/>
      <w:lvlText w:val="%6."/>
      <w:lvlJc w:val="right"/>
      <w:pPr>
        <w:ind w:left="2538" w:hanging="420"/>
      </w:pPr>
    </w:lvl>
    <w:lvl w:ilvl="6" w:tentative="0">
      <w:start w:val="1"/>
      <w:numFmt w:val="decimal"/>
      <w:lvlText w:val="%7."/>
      <w:lvlJc w:val="left"/>
      <w:pPr>
        <w:ind w:left="2958" w:hanging="420"/>
      </w:pPr>
    </w:lvl>
    <w:lvl w:ilvl="7" w:tentative="0">
      <w:start w:val="1"/>
      <w:numFmt w:val="lowerLetter"/>
      <w:lvlText w:val="%8)"/>
      <w:lvlJc w:val="left"/>
      <w:pPr>
        <w:ind w:left="3378" w:hanging="420"/>
      </w:pPr>
    </w:lvl>
    <w:lvl w:ilvl="8" w:tentative="0">
      <w:start w:val="1"/>
      <w:numFmt w:val="lowerRoman"/>
      <w:lvlText w:val="%9."/>
      <w:lvlJc w:val="right"/>
      <w:pPr>
        <w:ind w:left="3798" w:hanging="420"/>
      </w:pPr>
    </w:lvl>
  </w:abstractNum>
  <w:abstractNum w:abstractNumId="1">
    <w:nsid w:val="30FAFD0A"/>
    <w:multiLevelType w:val="singleLevel"/>
    <w:tmpl w:val="30FAFD0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3BB0C6B2"/>
    <w:multiLevelType w:val="singleLevel"/>
    <w:tmpl w:val="3BB0C6B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ODgyNzBmMDQ3MDBjYjc4Nzc3NGNhZjA4MTI3MjcifQ=="/>
  </w:docVars>
  <w:rsids>
    <w:rsidRoot w:val="00172A27"/>
    <w:rsid w:val="00024C42"/>
    <w:rsid w:val="000307DD"/>
    <w:rsid w:val="000370A4"/>
    <w:rsid w:val="00046210"/>
    <w:rsid w:val="00074F2E"/>
    <w:rsid w:val="0008100C"/>
    <w:rsid w:val="000F5238"/>
    <w:rsid w:val="00121548"/>
    <w:rsid w:val="001952C1"/>
    <w:rsid w:val="001B3749"/>
    <w:rsid w:val="001D3494"/>
    <w:rsid w:val="00224747"/>
    <w:rsid w:val="002A78A4"/>
    <w:rsid w:val="002B122C"/>
    <w:rsid w:val="00375401"/>
    <w:rsid w:val="003A4007"/>
    <w:rsid w:val="003C2C42"/>
    <w:rsid w:val="003D78AF"/>
    <w:rsid w:val="003E6749"/>
    <w:rsid w:val="004745EE"/>
    <w:rsid w:val="00495BFD"/>
    <w:rsid w:val="004C6751"/>
    <w:rsid w:val="004E00DD"/>
    <w:rsid w:val="005138FD"/>
    <w:rsid w:val="0052143D"/>
    <w:rsid w:val="005552B5"/>
    <w:rsid w:val="00571277"/>
    <w:rsid w:val="005C6C4D"/>
    <w:rsid w:val="006B0CDA"/>
    <w:rsid w:val="00777F5A"/>
    <w:rsid w:val="007A5906"/>
    <w:rsid w:val="007C37C4"/>
    <w:rsid w:val="007E01FE"/>
    <w:rsid w:val="007E1462"/>
    <w:rsid w:val="00843504"/>
    <w:rsid w:val="008A75D8"/>
    <w:rsid w:val="008B04EA"/>
    <w:rsid w:val="008F01CF"/>
    <w:rsid w:val="008F49DA"/>
    <w:rsid w:val="00905C92"/>
    <w:rsid w:val="00920974"/>
    <w:rsid w:val="009828D4"/>
    <w:rsid w:val="009E22EA"/>
    <w:rsid w:val="00A26F05"/>
    <w:rsid w:val="00A36B15"/>
    <w:rsid w:val="00A400D6"/>
    <w:rsid w:val="00A73488"/>
    <w:rsid w:val="00A97111"/>
    <w:rsid w:val="00AE0A66"/>
    <w:rsid w:val="00AF134C"/>
    <w:rsid w:val="00B36C08"/>
    <w:rsid w:val="00B54F02"/>
    <w:rsid w:val="00B80667"/>
    <w:rsid w:val="00BD2121"/>
    <w:rsid w:val="00C302C6"/>
    <w:rsid w:val="00C40063"/>
    <w:rsid w:val="00C64BC5"/>
    <w:rsid w:val="00C76DBF"/>
    <w:rsid w:val="00C81296"/>
    <w:rsid w:val="00C91295"/>
    <w:rsid w:val="00CF4805"/>
    <w:rsid w:val="00CF625A"/>
    <w:rsid w:val="00D53F78"/>
    <w:rsid w:val="00DC247A"/>
    <w:rsid w:val="00DD6FB3"/>
    <w:rsid w:val="00DE7D7A"/>
    <w:rsid w:val="00EA74D6"/>
    <w:rsid w:val="00F77B2D"/>
    <w:rsid w:val="00FB1029"/>
    <w:rsid w:val="034321D6"/>
    <w:rsid w:val="036B5AB8"/>
    <w:rsid w:val="066F287E"/>
    <w:rsid w:val="07621D50"/>
    <w:rsid w:val="090F2826"/>
    <w:rsid w:val="0C645E85"/>
    <w:rsid w:val="12212576"/>
    <w:rsid w:val="12594EC4"/>
    <w:rsid w:val="179B3C4B"/>
    <w:rsid w:val="180B72E5"/>
    <w:rsid w:val="18B93A59"/>
    <w:rsid w:val="19116C9C"/>
    <w:rsid w:val="1AB00EC1"/>
    <w:rsid w:val="1B025163"/>
    <w:rsid w:val="1EAA0828"/>
    <w:rsid w:val="1F471F73"/>
    <w:rsid w:val="20587E97"/>
    <w:rsid w:val="21A434C7"/>
    <w:rsid w:val="224A7647"/>
    <w:rsid w:val="23773EFE"/>
    <w:rsid w:val="28916605"/>
    <w:rsid w:val="2AAF6A90"/>
    <w:rsid w:val="2B5F1D91"/>
    <w:rsid w:val="2FA8134D"/>
    <w:rsid w:val="334F5101"/>
    <w:rsid w:val="347A5831"/>
    <w:rsid w:val="347F373A"/>
    <w:rsid w:val="38D74529"/>
    <w:rsid w:val="3B211340"/>
    <w:rsid w:val="3EC752BB"/>
    <w:rsid w:val="409C45B6"/>
    <w:rsid w:val="40EF0800"/>
    <w:rsid w:val="41285215"/>
    <w:rsid w:val="42254C29"/>
    <w:rsid w:val="427B0856"/>
    <w:rsid w:val="448F1AB7"/>
    <w:rsid w:val="4532530B"/>
    <w:rsid w:val="462F6A89"/>
    <w:rsid w:val="471D3D9A"/>
    <w:rsid w:val="48872128"/>
    <w:rsid w:val="49FA32C7"/>
    <w:rsid w:val="4D096BE2"/>
    <w:rsid w:val="4E310B2B"/>
    <w:rsid w:val="4FB33704"/>
    <w:rsid w:val="52633DF6"/>
    <w:rsid w:val="52840E19"/>
    <w:rsid w:val="531325B7"/>
    <w:rsid w:val="534812E3"/>
    <w:rsid w:val="54206DE3"/>
    <w:rsid w:val="58520477"/>
    <w:rsid w:val="58AB6B96"/>
    <w:rsid w:val="59CA363A"/>
    <w:rsid w:val="5A4B5828"/>
    <w:rsid w:val="5B886FC1"/>
    <w:rsid w:val="5DB91530"/>
    <w:rsid w:val="648D13CE"/>
    <w:rsid w:val="65E87914"/>
    <w:rsid w:val="66BA240F"/>
    <w:rsid w:val="66E11681"/>
    <w:rsid w:val="67CA5462"/>
    <w:rsid w:val="68C75A06"/>
    <w:rsid w:val="68CA259A"/>
    <w:rsid w:val="695B1643"/>
    <w:rsid w:val="6B671F90"/>
    <w:rsid w:val="6C9A58FE"/>
    <w:rsid w:val="6CF35889"/>
    <w:rsid w:val="6EEB3447"/>
    <w:rsid w:val="6FEF7ECC"/>
    <w:rsid w:val="71045FE5"/>
    <w:rsid w:val="716801A0"/>
    <w:rsid w:val="74E47DF6"/>
    <w:rsid w:val="77892D07"/>
    <w:rsid w:val="788F076F"/>
    <w:rsid w:val="791604D6"/>
    <w:rsid w:val="7BE40BAA"/>
    <w:rsid w:val="7F4339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34"/>
    <w:pPr>
      <w:ind w:firstLine="420" w:firstLineChars="200"/>
    </w:pPr>
  </w:style>
  <w:style w:type="paragraph" w:customStyle="1" w:styleId="10">
    <w:name w:val="Normal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1393</Words>
  <Characters>1523</Characters>
  <Lines>10</Lines>
  <Paragraphs>2</Paragraphs>
  <TotalTime>24</TotalTime>
  <ScaleCrop>false</ScaleCrop>
  <LinksUpToDate>false</LinksUpToDate>
  <CharactersWithSpaces>1568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2022-05-21T07:50:00Z</dcterms:created>
  <dc:creator>龙哥</dc:creator>
  <cp:lastModifiedBy>大太阳</cp:lastModifiedBy>
  <dcterms:modified xsi:type="dcterms:W3CDTF">2023-12-25T02:24:02Z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57E8454BAF2A4BCC958D48F27998623F</vt:lpwstr>
  </property>
</Properties>
</file>