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val="0"/>
        <w:overflowPunct/>
        <w:topLinePunct/>
        <w:autoSpaceDE/>
        <w:autoSpaceDN/>
        <w:bidi w:val="0"/>
        <w:snapToGrid w:val="0"/>
        <w:spacing w:line="360" w:lineRule="auto"/>
        <w:jc w:val="center"/>
        <w:textAlignment w:val="auto"/>
        <w:rPr>
          <w:rFonts w:hint="eastAsia" w:ascii="宋体" w:hAnsi="宋体" w:cs="宋体"/>
          <w:b/>
          <w:bCs/>
          <w:spacing w:val="164"/>
          <w:kern w:val="0"/>
          <w:sz w:val="48"/>
          <w:szCs w:val="48"/>
        </w:rPr>
      </w:pPr>
      <w:bookmarkStart w:id="0" w:name="_Toc23676"/>
      <w:bookmarkStart w:id="1" w:name="_Toc517793373"/>
      <w:bookmarkStart w:id="2" w:name="_Toc4396"/>
      <w:bookmarkStart w:id="3" w:name="_Toc26566"/>
      <w:bookmarkStart w:id="4" w:name="_Toc517793378"/>
      <w:bookmarkStart w:id="5" w:name="_Toc6348"/>
      <w:bookmarkStart w:id="6" w:name="_Toc471818670"/>
    </w:p>
    <w:p>
      <w:pPr>
        <w:pageBreakBefore w:val="0"/>
        <w:kinsoku/>
        <w:wordWrap w:val="0"/>
        <w:overflowPunct/>
        <w:topLinePunct/>
        <w:autoSpaceDE/>
        <w:autoSpaceDN/>
        <w:bidi w:val="0"/>
        <w:snapToGrid w:val="0"/>
        <w:spacing w:line="360" w:lineRule="auto"/>
        <w:jc w:val="center"/>
        <w:textAlignment w:val="auto"/>
        <w:rPr>
          <w:rFonts w:hint="eastAsia" w:ascii="宋体" w:hAnsi="宋体" w:cs="宋体"/>
          <w:b/>
          <w:bCs/>
          <w:spacing w:val="164"/>
          <w:kern w:val="0"/>
          <w:sz w:val="48"/>
          <w:szCs w:val="48"/>
        </w:rPr>
      </w:pPr>
    </w:p>
    <w:p>
      <w:pPr>
        <w:pageBreakBefore w:val="0"/>
        <w:kinsoku/>
        <w:wordWrap w:val="0"/>
        <w:overflowPunct/>
        <w:topLinePunct/>
        <w:autoSpaceDE/>
        <w:autoSpaceDN/>
        <w:bidi w:val="0"/>
        <w:snapToGrid w:val="0"/>
        <w:spacing w:line="360" w:lineRule="auto"/>
        <w:jc w:val="center"/>
        <w:textAlignment w:val="auto"/>
        <w:rPr>
          <w:rFonts w:hint="eastAsia" w:ascii="宋体" w:hAnsi="宋体" w:cs="宋体"/>
          <w:b/>
          <w:bCs/>
          <w:spacing w:val="164"/>
          <w:sz w:val="52"/>
          <w:szCs w:val="52"/>
        </w:rPr>
      </w:pPr>
      <w:r>
        <w:rPr>
          <w:rFonts w:hint="eastAsia" w:ascii="黑体" w:hAnsi="黑体" w:eastAsia="黑体" w:cs="黑体"/>
          <w:b/>
          <w:bCs/>
          <w:spacing w:val="51"/>
          <w:kern w:val="0"/>
          <w:sz w:val="72"/>
          <w:szCs w:val="72"/>
        </w:rPr>
        <w:t>常州市金坛区政府采购</w:t>
      </w:r>
    </w:p>
    <w:p>
      <w:pPr>
        <w:pageBreakBefore w:val="0"/>
        <w:kinsoku/>
        <w:wordWrap w:val="0"/>
        <w:overflowPunct/>
        <w:topLinePunct/>
        <w:autoSpaceDE/>
        <w:autoSpaceDN/>
        <w:bidi w:val="0"/>
        <w:ind w:firstLine="1724" w:firstLineChars="200"/>
        <w:textAlignment w:val="auto"/>
        <w:rPr>
          <w:rFonts w:hint="eastAsia" w:ascii="宋体" w:hAnsi="宋体" w:cs="宋体"/>
        </w:rPr>
      </w:pPr>
      <w:r>
        <w:rPr>
          <w:rFonts w:hint="eastAsia" w:ascii="宋体" w:hAnsi="宋体" w:cs="宋体"/>
          <w:b/>
          <w:bCs/>
          <w:spacing w:val="170"/>
          <w:sz w:val="52"/>
          <w:szCs w:val="52"/>
        </w:rPr>
        <w:t>竞争性谈判文件</w:t>
      </w:r>
    </w:p>
    <w:p>
      <w:pPr>
        <w:pageBreakBefore w:val="0"/>
        <w:kinsoku/>
        <w:wordWrap w:val="0"/>
        <w:overflowPunct/>
        <w:topLinePunct/>
        <w:autoSpaceDE/>
        <w:autoSpaceDN/>
        <w:bidi w:val="0"/>
        <w:textAlignment w:val="auto"/>
        <w:rPr>
          <w:rFonts w:hint="eastAsia" w:ascii="宋体" w:hAnsi="宋体" w:cs="宋体"/>
        </w:rPr>
      </w:pPr>
    </w:p>
    <w:p>
      <w:pPr>
        <w:pageBreakBefore w:val="0"/>
        <w:kinsoku/>
        <w:wordWrap w:val="0"/>
        <w:overflowPunct/>
        <w:topLinePunct/>
        <w:autoSpaceDE/>
        <w:autoSpaceDN/>
        <w:bidi w:val="0"/>
        <w:adjustRightInd w:val="0"/>
        <w:snapToGrid w:val="0"/>
        <w:spacing w:line="800" w:lineRule="exact"/>
        <w:textAlignment w:val="auto"/>
        <w:rPr>
          <w:rFonts w:hint="eastAsia" w:ascii="宋体" w:hAnsi="宋体" w:cs="宋体"/>
          <w:sz w:val="52"/>
          <w:szCs w:val="52"/>
        </w:rPr>
      </w:pPr>
    </w:p>
    <w:p>
      <w:pPr>
        <w:pStyle w:val="5"/>
        <w:pageBreakBefore w:val="0"/>
        <w:kinsoku/>
        <w:wordWrap w:val="0"/>
        <w:overflowPunct/>
        <w:topLinePunct/>
        <w:autoSpaceDE/>
        <w:autoSpaceDN/>
        <w:bidi w:val="0"/>
        <w:textAlignment w:val="auto"/>
        <w:rPr>
          <w:rFonts w:hint="eastAsia"/>
          <w:lang w:val="en-US"/>
        </w:rPr>
      </w:pPr>
    </w:p>
    <w:p>
      <w:pPr>
        <w:pageBreakBefore w:val="0"/>
        <w:kinsoku/>
        <w:wordWrap w:val="0"/>
        <w:overflowPunct/>
        <w:topLinePunct/>
        <w:autoSpaceDE/>
        <w:autoSpaceDN/>
        <w:bidi w:val="0"/>
        <w:adjustRightInd w:val="0"/>
        <w:snapToGrid w:val="0"/>
        <w:spacing w:line="800" w:lineRule="exact"/>
        <w:ind w:firstLine="1400" w:firstLineChars="500"/>
        <w:textAlignment w:val="auto"/>
        <w:rPr>
          <w:rFonts w:hint="eastAsia" w:ascii="宋体"/>
          <w:bCs/>
          <w:sz w:val="28"/>
          <w:szCs w:val="28"/>
        </w:rPr>
      </w:pPr>
      <w:r>
        <w:rPr>
          <w:rFonts w:hint="eastAsia" w:ascii="宋体" w:hAnsi="宋体"/>
          <w:bCs/>
          <w:sz w:val="28"/>
          <w:szCs w:val="28"/>
        </w:rPr>
        <w:t>采购项目编号：</w:t>
      </w:r>
      <w:r>
        <w:rPr>
          <w:rFonts w:hint="eastAsia" w:ascii="宋体" w:hAnsi="宋体"/>
          <w:bCs/>
          <w:sz w:val="28"/>
          <w:szCs w:val="28"/>
          <w:lang w:eastAsia="zh-CN"/>
        </w:rPr>
        <w:t>zxzb2021081</w:t>
      </w:r>
      <w:r>
        <w:rPr>
          <w:rFonts w:hint="eastAsia" w:ascii="宋体" w:hAnsi="宋体"/>
          <w:bCs/>
          <w:sz w:val="28"/>
          <w:szCs w:val="28"/>
        </w:rPr>
        <w:t xml:space="preserve">   </w:t>
      </w:r>
    </w:p>
    <w:p>
      <w:pPr>
        <w:pageBreakBefore w:val="0"/>
        <w:kinsoku/>
        <w:wordWrap w:val="0"/>
        <w:overflowPunct/>
        <w:topLinePunct/>
        <w:autoSpaceDE/>
        <w:autoSpaceDN/>
        <w:bidi w:val="0"/>
        <w:adjustRightInd w:val="0"/>
        <w:snapToGrid w:val="0"/>
        <w:spacing w:line="800" w:lineRule="exact"/>
        <w:ind w:left="3356" w:leftChars="665" w:hanging="1960" w:hangingChars="700"/>
        <w:textAlignment w:val="auto"/>
        <w:rPr>
          <w:rFonts w:hint="eastAsia" w:ascii="宋体" w:hAnsi="宋体" w:eastAsia="宋体"/>
          <w:bCs/>
          <w:sz w:val="28"/>
          <w:szCs w:val="28"/>
          <w:lang w:eastAsia="zh-CN"/>
        </w:rPr>
      </w:pPr>
      <w:r>
        <w:rPr>
          <w:rFonts w:hint="eastAsia" w:ascii="宋体" w:hAnsi="宋体"/>
          <w:bCs/>
          <w:sz w:val="28"/>
          <w:szCs w:val="28"/>
        </w:rPr>
        <w:t>采购项目名称：</w:t>
      </w:r>
      <w:r>
        <w:rPr>
          <w:rFonts w:hint="eastAsia" w:ascii="宋体" w:hAnsi="宋体"/>
          <w:bCs/>
          <w:sz w:val="28"/>
          <w:szCs w:val="28"/>
          <w:lang w:eastAsia="zh-CN"/>
        </w:rPr>
        <w:t>常州市金坛区直溪集镇城管中队西侧地块休闲游园新建工程</w:t>
      </w:r>
    </w:p>
    <w:p>
      <w:pPr>
        <w:pageBreakBefore w:val="0"/>
        <w:kinsoku/>
        <w:wordWrap w:val="0"/>
        <w:overflowPunct/>
        <w:topLinePunct/>
        <w:autoSpaceDE/>
        <w:autoSpaceDN/>
        <w:bidi w:val="0"/>
        <w:adjustRightInd w:val="0"/>
        <w:snapToGrid w:val="0"/>
        <w:spacing w:line="800" w:lineRule="exact"/>
        <w:ind w:firstLine="1400" w:firstLineChars="500"/>
        <w:textAlignment w:val="auto"/>
        <w:rPr>
          <w:rFonts w:hint="eastAsia" w:ascii="宋体" w:hAnsi="宋体" w:eastAsia="宋体"/>
          <w:bCs/>
          <w:sz w:val="28"/>
          <w:szCs w:val="28"/>
          <w:lang w:eastAsia="zh-CN"/>
        </w:rPr>
      </w:pPr>
      <w:r>
        <w:rPr>
          <w:rFonts w:hint="eastAsia" w:ascii="宋体" w:hAnsi="宋体"/>
          <w:bCs/>
          <w:sz w:val="28"/>
          <w:szCs w:val="28"/>
        </w:rPr>
        <w:t>采购人名称：</w:t>
      </w:r>
      <w:r>
        <w:rPr>
          <w:rFonts w:hint="eastAsia" w:ascii="宋体" w:hAnsi="宋体"/>
          <w:bCs/>
          <w:sz w:val="28"/>
          <w:szCs w:val="28"/>
          <w:lang w:eastAsia="zh-CN"/>
        </w:rPr>
        <w:t>常州市金坛区直溪镇人民政府</w:t>
      </w:r>
    </w:p>
    <w:p>
      <w:pPr>
        <w:pageBreakBefore w:val="0"/>
        <w:kinsoku/>
        <w:wordWrap w:val="0"/>
        <w:overflowPunct/>
        <w:topLinePunct/>
        <w:autoSpaceDE/>
        <w:autoSpaceDN/>
        <w:bidi w:val="0"/>
        <w:adjustRightInd w:val="0"/>
        <w:snapToGrid w:val="0"/>
        <w:spacing w:line="800" w:lineRule="exact"/>
        <w:textAlignment w:val="auto"/>
        <w:rPr>
          <w:rFonts w:hint="eastAsia" w:ascii="宋体" w:eastAsia="宋体"/>
          <w:bCs/>
          <w:sz w:val="28"/>
          <w:szCs w:val="28"/>
          <w:lang w:eastAsia="zh-CN"/>
        </w:rPr>
      </w:pPr>
      <w:r>
        <w:rPr>
          <w:rFonts w:hint="eastAsia" w:ascii="宋体" w:hAnsi="宋体"/>
          <w:bCs/>
          <w:sz w:val="28"/>
          <w:szCs w:val="28"/>
        </w:rPr>
        <w:t xml:space="preserve">          采购代理机构：</w:t>
      </w:r>
      <w:r>
        <w:rPr>
          <w:rFonts w:hint="eastAsia" w:ascii="宋体" w:hAnsi="宋体"/>
          <w:bCs/>
          <w:sz w:val="28"/>
          <w:szCs w:val="28"/>
          <w:lang w:eastAsia="zh-CN"/>
        </w:rPr>
        <w:t>江苏和润工程项目管理有限公司</w:t>
      </w:r>
    </w:p>
    <w:p>
      <w:pPr>
        <w:pageBreakBefore w:val="0"/>
        <w:kinsoku/>
        <w:wordWrap w:val="0"/>
        <w:overflowPunct/>
        <w:topLinePunct/>
        <w:autoSpaceDE/>
        <w:autoSpaceDN/>
        <w:bidi w:val="0"/>
        <w:snapToGrid w:val="0"/>
        <w:spacing w:line="360" w:lineRule="auto"/>
        <w:textAlignment w:val="auto"/>
        <w:rPr>
          <w:rFonts w:hint="eastAsia" w:ascii="宋体" w:hAnsi="宋体" w:cs="宋体"/>
          <w:b/>
          <w:sz w:val="28"/>
          <w:szCs w:val="28"/>
        </w:rPr>
      </w:pPr>
    </w:p>
    <w:p>
      <w:pPr>
        <w:pageBreakBefore w:val="0"/>
        <w:kinsoku/>
        <w:wordWrap w:val="0"/>
        <w:overflowPunct/>
        <w:topLinePunct/>
        <w:autoSpaceDE/>
        <w:autoSpaceDN/>
        <w:bidi w:val="0"/>
        <w:snapToGrid w:val="0"/>
        <w:spacing w:line="360" w:lineRule="auto"/>
        <w:jc w:val="center"/>
        <w:textAlignment w:val="auto"/>
        <w:rPr>
          <w:rFonts w:hint="eastAsia" w:ascii="宋体" w:hAnsi="宋体" w:cs="宋体"/>
          <w:b/>
          <w:sz w:val="28"/>
          <w:szCs w:val="28"/>
        </w:rPr>
      </w:pPr>
    </w:p>
    <w:p>
      <w:pPr>
        <w:pageBreakBefore w:val="0"/>
        <w:kinsoku/>
        <w:wordWrap w:val="0"/>
        <w:overflowPunct/>
        <w:topLinePunct/>
        <w:autoSpaceDE/>
        <w:autoSpaceDN/>
        <w:bidi w:val="0"/>
        <w:snapToGrid w:val="0"/>
        <w:spacing w:line="360" w:lineRule="auto"/>
        <w:jc w:val="center"/>
        <w:textAlignment w:val="auto"/>
        <w:rPr>
          <w:rFonts w:hint="eastAsia" w:ascii="宋体" w:hAnsi="宋体" w:cs="宋体"/>
          <w:b/>
          <w:sz w:val="28"/>
          <w:szCs w:val="28"/>
        </w:rPr>
      </w:pPr>
    </w:p>
    <w:p>
      <w:pPr>
        <w:pageBreakBefore w:val="0"/>
        <w:kinsoku/>
        <w:wordWrap w:val="0"/>
        <w:overflowPunct/>
        <w:topLinePunct/>
        <w:autoSpaceDE/>
        <w:autoSpaceDN/>
        <w:bidi w:val="0"/>
        <w:adjustRightInd w:val="0"/>
        <w:snapToGrid w:val="0"/>
        <w:spacing w:line="360" w:lineRule="auto"/>
        <w:jc w:val="center"/>
        <w:textAlignment w:val="auto"/>
        <w:rPr>
          <w:rFonts w:hint="eastAsia" w:ascii="宋体" w:hAnsi="宋体" w:cs="宋体"/>
          <w:bCs/>
          <w:sz w:val="28"/>
          <w:szCs w:val="28"/>
        </w:rPr>
      </w:pPr>
    </w:p>
    <w:p>
      <w:pPr>
        <w:pageBreakBefore w:val="0"/>
        <w:kinsoku/>
        <w:wordWrap w:val="0"/>
        <w:overflowPunct/>
        <w:topLinePunct/>
        <w:autoSpaceDE/>
        <w:autoSpaceDN/>
        <w:bidi w:val="0"/>
        <w:adjustRightInd w:val="0"/>
        <w:snapToGrid w:val="0"/>
        <w:spacing w:line="360" w:lineRule="auto"/>
        <w:jc w:val="center"/>
        <w:textAlignment w:val="auto"/>
        <w:rPr>
          <w:rFonts w:hint="eastAsia" w:ascii="宋体" w:hAnsi="宋体" w:cs="宋体"/>
          <w:bCs/>
          <w:sz w:val="28"/>
          <w:szCs w:val="28"/>
        </w:rPr>
      </w:pPr>
      <w:r>
        <w:rPr>
          <w:rFonts w:hint="eastAsia" w:ascii="宋体" w:hAnsi="宋体" w:cs="宋体"/>
          <w:bCs/>
          <w:sz w:val="28"/>
          <w:szCs w:val="28"/>
        </w:rPr>
        <w:t>2021年</w:t>
      </w:r>
      <w:r>
        <w:rPr>
          <w:rFonts w:hint="eastAsia" w:ascii="宋体" w:hAnsi="宋体" w:cs="宋体"/>
          <w:bCs/>
          <w:sz w:val="28"/>
          <w:szCs w:val="28"/>
          <w:lang w:val="en-US" w:eastAsia="zh-CN"/>
        </w:rPr>
        <w:t>6</w:t>
      </w:r>
      <w:r>
        <w:rPr>
          <w:rFonts w:hint="eastAsia" w:ascii="宋体" w:hAnsi="宋体" w:cs="宋体"/>
          <w:bCs/>
          <w:sz w:val="28"/>
          <w:szCs w:val="28"/>
        </w:rPr>
        <w:t>月</w:t>
      </w:r>
    </w:p>
    <w:p>
      <w:pPr>
        <w:pageBreakBefore w:val="0"/>
        <w:tabs>
          <w:tab w:val="left" w:pos="2173"/>
        </w:tabs>
        <w:kinsoku/>
        <w:wordWrap w:val="0"/>
        <w:overflowPunct/>
        <w:topLinePunct/>
        <w:autoSpaceDE/>
        <w:autoSpaceDN/>
        <w:bidi w:val="0"/>
        <w:jc w:val="left"/>
        <w:textAlignment w:val="auto"/>
        <w:rPr>
          <w:rFonts w:ascii="宋体" w:hAnsi="宋体" w:cs="宋体"/>
        </w:rPr>
        <w:sectPr>
          <w:headerReference r:id="rId4" w:type="first"/>
          <w:headerReference r:id="rId3" w:type="default"/>
          <w:footerReference r:id="rId5" w:type="default"/>
          <w:footerReference r:id="rId6" w:type="even"/>
          <w:pgSz w:w="11906" w:h="16838"/>
          <w:pgMar w:top="1417" w:right="1134" w:bottom="1417" w:left="1134" w:header="851" w:footer="992" w:gutter="0"/>
          <w:cols w:space="720" w:num="1"/>
          <w:docGrid w:type="lines" w:linePitch="312" w:charSpace="0"/>
        </w:sectPr>
      </w:pPr>
      <w:r>
        <w:rPr>
          <w:rFonts w:hint="eastAsia" w:ascii="宋体" w:hAnsi="宋体" w:cs="宋体"/>
        </w:rPr>
        <w:t xml:space="preserve"> </w:t>
      </w:r>
    </w:p>
    <w:p>
      <w:pPr>
        <w:pStyle w:val="35"/>
        <w:pageBreakBefore w:val="0"/>
        <w:kinsoku/>
        <w:wordWrap w:val="0"/>
        <w:overflowPunct/>
        <w:topLinePunct/>
        <w:autoSpaceDE/>
        <w:autoSpaceDN/>
        <w:bidi w:val="0"/>
        <w:ind w:firstLine="4417" w:firstLineChars="1000"/>
        <w:jc w:val="both"/>
        <w:textAlignment w:val="auto"/>
        <w:rPr>
          <w:rFonts w:hint="eastAsia" w:ascii="宋体" w:hAnsi="宋体" w:cs="宋体"/>
          <w:color w:val="auto"/>
          <w:sz w:val="44"/>
          <w:szCs w:val="44"/>
        </w:rPr>
      </w:pPr>
      <w:bookmarkStart w:id="7" w:name="_Toc30896"/>
      <w:r>
        <w:rPr>
          <w:rFonts w:hint="eastAsia" w:ascii="宋体" w:hAnsi="宋体" w:cs="宋体"/>
          <w:color w:val="auto"/>
          <w:sz w:val="44"/>
          <w:szCs w:val="44"/>
          <w:lang w:val="zh-CN"/>
        </w:rPr>
        <w:t>目</w:t>
      </w:r>
      <w:r>
        <w:rPr>
          <w:rFonts w:hint="eastAsia" w:ascii="宋体" w:hAnsi="宋体" w:cs="宋体"/>
          <w:color w:val="auto"/>
          <w:sz w:val="44"/>
          <w:szCs w:val="44"/>
        </w:rPr>
        <w:t xml:space="preserve">  </w:t>
      </w:r>
      <w:r>
        <w:rPr>
          <w:rFonts w:hint="eastAsia" w:ascii="宋体" w:hAnsi="宋体" w:cs="宋体"/>
          <w:color w:val="auto"/>
          <w:sz w:val="44"/>
          <w:szCs w:val="44"/>
          <w:lang w:val="zh-CN"/>
        </w:rPr>
        <w:t>录</w:t>
      </w:r>
      <w:bookmarkEnd w:id="7"/>
    </w:p>
    <w:p>
      <w:pPr>
        <w:pageBreakBefore w:val="0"/>
        <w:kinsoku/>
        <w:wordWrap w:val="0"/>
        <w:overflowPunct/>
        <w:topLinePunct/>
        <w:autoSpaceDE/>
        <w:autoSpaceDN/>
        <w:bidi w:val="0"/>
        <w:spacing w:line="480" w:lineRule="auto"/>
        <w:textAlignment w:val="auto"/>
        <w:rPr>
          <w:rFonts w:hint="eastAsia" w:ascii="宋体" w:hAnsi="宋体" w:cs="宋体"/>
          <w:sz w:val="30"/>
          <w:szCs w:val="30"/>
        </w:rPr>
      </w:pPr>
    </w:p>
    <w:p>
      <w:pPr>
        <w:pageBreakBefore w:val="0"/>
        <w:kinsoku/>
        <w:wordWrap w:val="0"/>
        <w:overflowPunct/>
        <w:topLinePunct/>
        <w:autoSpaceDE/>
        <w:autoSpaceDN/>
        <w:bidi w:val="0"/>
        <w:spacing w:line="720" w:lineRule="auto"/>
        <w:textAlignment w:val="auto"/>
        <w:rPr>
          <w:rFonts w:hint="eastAsia" w:ascii="宋体" w:hAnsi="宋体" w:cs="宋体"/>
          <w:sz w:val="30"/>
          <w:szCs w:val="30"/>
        </w:rPr>
      </w:pPr>
      <w:bookmarkStart w:id="8" w:name="OLE_LINK1"/>
      <w:bookmarkStart w:id="9" w:name="OLE_LINK4"/>
      <w:bookmarkStart w:id="10" w:name="OLE_LINK2"/>
      <w:bookmarkStart w:id="11" w:name="OLE_LINK3"/>
      <w:r>
        <w:rPr>
          <w:rFonts w:hint="eastAsia" w:ascii="宋体" w:hAnsi="宋体" w:cs="宋体"/>
          <w:sz w:val="30"/>
          <w:szCs w:val="30"/>
        </w:rPr>
        <w:fldChar w:fldCharType="begin"/>
      </w:r>
      <w:r>
        <w:rPr>
          <w:rFonts w:hint="eastAsia" w:ascii="宋体" w:hAnsi="宋体" w:cs="宋体"/>
          <w:sz w:val="30"/>
          <w:szCs w:val="30"/>
        </w:rPr>
        <w:instrText xml:space="preserve"> TOC \o "1-2" \h \z \u </w:instrText>
      </w:r>
      <w:r>
        <w:rPr>
          <w:rFonts w:hint="eastAsia" w:ascii="宋体" w:hAnsi="宋体" w:cs="宋体"/>
          <w:sz w:val="30"/>
          <w:szCs w:val="30"/>
        </w:rPr>
        <w:fldChar w:fldCharType="separate"/>
      </w:r>
      <w:r>
        <w:rPr>
          <w:rFonts w:hint="eastAsia" w:ascii="宋体" w:hAnsi="宋体" w:cs="宋体"/>
          <w:sz w:val="30"/>
          <w:szCs w:val="30"/>
        </w:rPr>
        <w:fldChar w:fldCharType="begin"/>
      </w:r>
      <w:r>
        <w:rPr>
          <w:rFonts w:hint="eastAsia" w:ascii="宋体" w:hAnsi="宋体" w:cs="宋体"/>
          <w:sz w:val="30"/>
          <w:szCs w:val="30"/>
        </w:rPr>
        <w:instrText xml:space="preserve"> HYPERLINK \l "_Toc214163612" </w:instrText>
      </w:r>
      <w:r>
        <w:rPr>
          <w:rFonts w:hint="eastAsia" w:ascii="宋体" w:hAnsi="宋体" w:cs="宋体"/>
          <w:sz w:val="30"/>
          <w:szCs w:val="30"/>
        </w:rPr>
        <w:fldChar w:fldCharType="separate"/>
      </w:r>
      <w:r>
        <w:rPr>
          <w:rFonts w:hint="eastAsia" w:ascii="宋体" w:hAnsi="宋体" w:cs="宋体"/>
          <w:sz w:val="30"/>
          <w:szCs w:val="30"/>
        </w:rPr>
        <w:t>第一部分 竞争性谈判公告</w:t>
      </w:r>
      <w:r>
        <w:rPr>
          <w:rFonts w:hint="eastAsia" w:ascii="宋体" w:hAnsi="宋体" w:cs="宋体"/>
          <w:sz w:val="30"/>
          <w:szCs w:val="30"/>
        </w:rPr>
        <w:fldChar w:fldCharType="end"/>
      </w:r>
    </w:p>
    <w:p>
      <w:pPr>
        <w:pageBreakBefore w:val="0"/>
        <w:kinsoku/>
        <w:wordWrap w:val="0"/>
        <w:overflowPunct/>
        <w:topLinePunct/>
        <w:autoSpaceDE/>
        <w:autoSpaceDN/>
        <w:bidi w:val="0"/>
        <w:spacing w:line="720" w:lineRule="auto"/>
        <w:textAlignment w:val="auto"/>
        <w:rPr>
          <w:rFonts w:hint="eastAsia" w:ascii="宋体" w:hAnsi="宋体" w:cs="宋体"/>
          <w:sz w:val="30"/>
          <w:szCs w:val="30"/>
        </w:rPr>
      </w:pPr>
      <w:r>
        <w:rPr>
          <w:rFonts w:hint="eastAsia" w:ascii="宋体" w:hAnsi="宋体" w:cs="宋体"/>
          <w:sz w:val="30"/>
          <w:szCs w:val="30"/>
        </w:rPr>
        <w:fldChar w:fldCharType="begin"/>
      </w:r>
      <w:r>
        <w:rPr>
          <w:rFonts w:hint="eastAsia" w:ascii="宋体" w:hAnsi="宋体" w:cs="宋体"/>
          <w:sz w:val="30"/>
          <w:szCs w:val="30"/>
        </w:rPr>
        <w:instrText xml:space="preserve"> HYPERLINK \l "_Toc214163613" </w:instrText>
      </w:r>
      <w:r>
        <w:rPr>
          <w:rFonts w:hint="eastAsia" w:ascii="宋体" w:hAnsi="宋体" w:cs="宋体"/>
          <w:sz w:val="30"/>
          <w:szCs w:val="30"/>
        </w:rPr>
        <w:fldChar w:fldCharType="separate"/>
      </w:r>
      <w:r>
        <w:rPr>
          <w:rFonts w:hint="eastAsia" w:ascii="宋体" w:hAnsi="宋体" w:cs="宋体"/>
          <w:sz w:val="30"/>
          <w:szCs w:val="30"/>
        </w:rPr>
        <w:t>第二部分 响应人须知前附表</w:t>
      </w:r>
      <w:r>
        <w:rPr>
          <w:rFonts w:hint="eastAsia" w:ascii="宋体" w:hAnsi="宋体" w:cs="宋体"/>
          <w:sz w:val="30"/>
          <w:szCs w:val="30"/>
        </w:rPr>
        <w:fldChar w:fldCharType="end"/>
      </w:r>
    </w:p>
    <w:p>
      <w:pPr>
        <w:pageBreakBefore w:val="0"/>
        <w:kinsoku/>
        <w:wordWrap w:val="0"/>
        <w:overflowPunct/>
        <w:topLinePunct/>
        <w:autoSpaceDE/>
        <w:autoSpaceDN/>
        <w:bidi w:val="0"/>
        <w:spacing w:line="720" w:lineRule="auto"/>
        <w:textAlignment w:val="auto"/>
        <w:rPr>
          <w:rFonts w:hint="eastAsia" w:ascii="宋体" w:hAnsi="宋体" w:cs="宋体"/>
          <w:sz w:val="30"/>
          <w:szCs w:val="30"/>
        </w:rPr>
      </w:pPr>
      <w:r>
        <w:rPr>
          <w:rFonts w:hint="eastAsia" w:ascii="宋体" w:hAnsi="宋体" w:cs="宋体"/>
          <w:sz w:val="30"/>
          <w:szCs w:val="30"/>
        </w:rPr>
        <w:fldChar w:fldCharType="begin"/>
      </w:r>
      <w:r>
        <w:rPr>
          <w:rFonts w:hint="eastAsia" w:ascii="宋体" w:hAnsi="宋体" w:cs="宋体"/>
          <w:sz w:val="30"/>
          <w:szCs w:val="30"/>
        </w:rPr>
        <w:instrText xml:space="preserve"> HYPERLINK \l "_Toc214163628" </w:instrText>
      </w:r>
      <w:r>
        <w:rPr>
          <w:rFonts w:hint="eastAsia" w:ascii="宋体" w:hAnsi="宋体" w:cs="宋体"/>
          <w:sz w:val="30"/>
          <w:szCs w:val="30"/>
        </w:rPr>
        <w:fldChar w:fldCharType="separate"/>
      </w:r>
      <w:r>
        <w:rPr>
          <w:rFonts w:hint="eastAsia" w:ascii="宋体" w:hAnsi="宋体" w:cs="宋体"/>
          <w:sz w:val="30"/>
          <w:szCs w:val="30"/>
        </w:rPr>
        <w:t>第三部分 响应人须知</w:t>
      </w:r>
      <w:r>
        <w:rPr>
          <w:rFonts w:hint="eastAsia" w:ascii="宋体" w:hAnsi="宋体" w:cs="宋体"/>
          <w:sz w:val="30"/>
          <w:szCs w:val="30"/>
        </w:rPr>
        <w:fldChar w:fldCharType="end"/>
      </w:r>
    </w:p>
    <w:p>
      <w:pPr>
        <w:pageBreakBefore w:val="0"/>
        <w:kinsoku/>
        <w:wordWrap w:val="0"/>
        <w:overflowPunct/>
        <w:topLinePunct/>
        <w:autoSpaceDE/>
        <w:autoSpaceDN/>
        <w:bidi w:val="0"/>
        <w:spacing w:line="720" w:lineRule="auto"/>
        <w:textAlignment w:val="auto"/>
        <w:rPr>
          <w:rFonts w:hint="eastAsia" w:ascii="宋体" w:hAnsi="宋体" w:cs="宋体"/>
          <w:sz w:val="30"/>
          <w:szCs w:val="30"/>
        </w:rPr>
      </w:pPr>
      <w:r>
        <w:rPr>
          <w:rFonts w:hint="eastAsia" w:ascii="宋体" w:hAnsi="宋体" w:cs="宋体"/>
          <w:sz w:val="30"/>
          <w:szCs w:val="30"/>
        </w:rPr>
        <w:fldChar w:fldCharType="begin"/>
      </w:r>
      <w:r>
        <w:rPr>
          <w:rFonts w:hint="eastAsia" w:ascii="宋体" w:hAnsi="宋体" w:cs="宋体"/>
          <w:sz w:val="30"/>
          <w:szCs w:val="30"/>
        </w:rPr>
        <w:instrText xml:space="preserve"> HYPERLINK \l "_Toc214163640" </w:instrText>
      </w:r>
      <w:r>
        <w:rPr>
          <w:rFonts w:hint="eastAsia" w:ascii="宋体" w:hAnsi="宋体" w:cs="宋体"/>
          <w:sz w:val="30"/>
          <w:szCs w:val="30"/>
        </w:rPr>
        <w:fldChar w:fldCharType="separate"/>
      </w:r>
      <w:r>
        <w:rPr>
          <w:rFonts w:hint="eastAsia" w:ascii="宋体" w:hAnsi="宋体" w:cs="宋体"/>
          <w:sz w:val="30"/>
          <w:szCs w:val="30"/>
        </w:rPr>
        <w:t>第四部分 谈判技术、服务需求</w:t>
      </w:r>
    </w:p>
    <w:p>
      <w:pPr>
        <w:pageBreakBefore w:val="0"/>
        <w:kinsoku/>
        <w:wordWrap w:val="0"/>
        <w:overflowPunct/>
        <w:topLinePunct/>
        <w:autoSpaceDE/>
        <w:autoSpaceDN/>
        <w:bidi w:val="0"/>
        <w:spacing w:line="720" w:lineRule="auto"/>
        <w:textAlignment w:val="auto"/>
        <w:rPr>
          <w:rFonts w:hint="eastAsia" w:ascii="宋体" w:hAnsi="宋体" w:cs="宋体"/>
          <w:sz w:val="30"/>
          <w:szCs w:val="30"/>
        </w:rPr>
      </w:pPr>
      <w:r>
        <w:rPr>
          <w:rFonts w:hint="eastAsia" w:ascii="宋体" w:hAnsi="宋体" w:cs="宋体"/>
          <w:sz w:val="30"/>
          <w:szCs w:val="30"/>
        </w:rPr>
        <w:t>第五部分 评审办法</w:t>
      </w:r>
      <w:r>
        <w:rPr>
          <w:rFonts w:hint="eastAsia" w:ascii="宋体" w:hAnsi="宋体" w:cs="宋体"/>
          <w:sz w:val="30"/>
          <w:szCs w:val="30"/>
        </w:rPr>
        <w:fldChar w:fldCharType="end"/>
      </w:r>
    </w:p>
    <w:p>
      <w:pPr>
        <w:pageBreakBefore w:val="0"/>
        <w:kinsoku/>
        <w:wordWrap w:val="0"/>
        <w:overflowPunct/>
        <w:topLinePunct/>
        <w:autoSpaceDE/>
        <w:autoSpaceDN/>
        <w:bidi w:val="0"/>
        <w:spacing w:line="720" w:lineRule="auto"/>
        <w:textAlignment w:val="auto"/>
        <w:rPr>
          <w:rFonts w:hint="eastAsia" w:ascii="宋体" w:hAnsi="宋体" w:cs="宋体"/>
          <w:sz w:val="30"/>
          <w:szCs w:val="30"/>
        </w:rPr>
      </w:pPr>
      <w:r>
        <w:rPr>
          <w:rFonts w:hint="eastAsia" w:ascii="宋体" w:hAnsi="宋体" w:cs="宋体"/>
          <w:sz w:val="30"/>
          <w:szCs w:val="30"/>
        </w:rPr>
        <w:fldChar w:fldCharType="begin"/>
      </w:r>
      <w:r>
        <w:rPr>
          <w:rFonts w:hint="eastAsia" w:ascii="宋体" w:hAnsi="宋体" w:cs="宋体"/>
          <w:sz w:val="30"/>
          <w:szCs w:val="30"/>
        </w:rPr>
        <w:instrText xml:space="preserve"> HYPERLINK \l "_Toc214163666" </w:instrText>
      </w:r>
      <w:r>
        <w:rPr>
          <w:rFonts w:hint="eastAsia" w:ascii="宋体" w:hAnsi="宋体" w:cs="宋体"/>
          <w:sz w:val="30"/>
          <w:szCs w:val="30"/>
        </w:rPr>
        <w:fldChar w:fldCharType="separate"/>
      </w:r>
      <w:r>
        <w:rPr>
          <w:rFonts w:hint="eastAsia" w:ascii="宋体" w:hAnsi="宋体" w:cs="宋体"/>
          <w:sz w:val="30"/>
          <w:szCs w:val="30"/>
        </w:rPr>
        <w:t>第六部分 成交合同</w:t>
      </w:r>
      <w:r>
        <w:rPr>
          <w:rFonts w:hint="eastAsia" w:ascii="宋体" w:hAnsi="宋体" w:cs="宋体"/>
          <w:sz w:val="30"/>
          <w:szCs w:val="30"/>
        </w:rPr>
        <w:fldChar w:fldCharType="end"/>
      </w:r>
    </w:p>
    <w:p>
      <w:pPr>
        <w:pageBreakBefore w:val="0"/>
        <w:kinsoku/>
        <w:wordWrap w:val="0"/>
        <w:overflowPunct/>
        <w:topLinePunct/>
        <w:autoSpaceDE/>
        <w:autoSpaceDN/>
        <w:bidi w:val="0"/>
        <w:spacing w:line="720" w:lineRule="auto"/>
        <w:textAlignment w:val="auto"/>
        <w:rPr>
          <w:rFonts w:hint="eastAsia" w:ascii="宋体" w:hAnsi="宋体" w:cs="宋体"/>
          <w:sz w:val="30"/>
          <w:szCs w:val="30"/>
        </w:rPr>
      </w:pPr>
      <w:r>
        <w:rPr>
          <w:rFonts w:hint="eastAsia" w:ascii="宋体" w:hAnsi="宋体" w:cs="宋体"/>
          <w:sz w:val="30"/>
          <w:szCs w:val="30"/>
        </w:rPr>
        <w:fldChar w:fldCharType="begin"/>
      </w:r>
      <w:r>
        <w:rPr>
          <w:rFonts w:hint="eastAsia" w:ascii="宋体" w:hAnsi="宋体" w:cs="宋体"/>
          <w:sz w:val="30"/>
          <w:szCs w:val="30"/>
        </w:rPr>
        <w:instrText xml:space="preserve"> HYPERLINK \l "_Toc214163670" </w:instrText>
      </w:r>
      <w:r>
        <w:rPr>
          <w:rFonts w:hint="eastAsia" w:ascii="宋体" w:hAnsi="宋体" w:cs="宋体"/>
          <w:sz w:val="30"/>
          <w:szCs w:val="30"/>
        </w:rPr>
        <w:fldChar w:fldCharType="separate"/>
      </w:r>
      <w:r>
        <w:rPr>
          <w:rFonts w:hint="eastAsia" w:ascii="宋体" w:hAnsi="宋体" w:cs="宋体"/>
          <w:sz w:val="30"/>
          <w:szCs w:val="30"/>
        </w:rPr>
        <w:t>第七部分 响应文件格式</w:t>
      </w:r>
      <w:r>
        <w:rPr>
          <w:rFonts w:hint="eastAsia" w:ascii="宋体" w:hAnsi="宋体" w:cs="宋体"/>
          <w:sz w:val="30"/>
          <w:szCs w:val="30"/>
        </w:rPr>
        <w:fldChar w:fldCharType="end"/>
      </w:r>
      <w:r>
        <w:rPr>
          <w:rFonts w:hint="eastAsia" w:ascii="宋体" w:hAnsi="宋体" w:cs="宋体"/>
          <w:sz w:val="30"/>
          <w:szCs w:val="30"/>
        </w:rPr>
        <w:fldChar w:fldCharType="end"/>
      </w:r>
    </w:p>
    <w:p>
      <w:pPr>
        <w:pageBreakBefore w:val="0"/>
        <w:kinsoku/>
        <w:wordWrap w:val="0"/>
        <w:overflowPunct/>
        <w:topLinePunct/>
        <w:autoSpaceDE/>
        <w:autoSpaceDN/>
        <w:bidi w:val="0"/>
        <w:spacing w:line="460" w:lineRule="exact"/>
        <w:jc w:val="center"/>
        <w:textAlignment w:val="auto"/>
        <w:rPr>
          <w:rFonts w:hint="eastAsia" w:ascii="宋体" w:hAnsi="宋体" w:cs="宋体"/>
          <w:sz w:val="28"/>
          <w:szCs w:val="28"/>
        </w:rPr>
      </w:pPr>
      <w:r>
        <w:rPr>
          <w:rFonts w:hint="eastAsia" w:cs="宋体"/>
          <w:bCs/>
          <w:sz w:val="28"/>
          <w:szCs w:val="28"/>
        </w:rPr>
        <w:br w:type="page"/>
      </w:r>
      <w:r>
        <w:rPr>
          <w:rFonts w:hint="eastAsia" w:ascii="宋体" w:hAnsi="宋体" w:cs="宋体"/>
          <w:b/>
          <w:bCs/>
          <w:sz w:val="28"/>
          <w:szCs w:val="28"/>
        </w:rPr>
        <w:t>第一部分  竞争性谈判公告</w:t>
      </w:r>
    </w:p>
    <w:p>
      <w:pPr>
        <w:pStyle w:val="3"/>
        <w:keepLines w:val="0"/>
        <w:pageBreakBefore w:val="0"/>
        <w:widowControl w:val="0"/>
        <w:tabs>
          <w:tab w:val="left" w:pos="0"/>
          <w:tab w:val="clear" w:pos="200"/>
        </w:tabs>
        <w:kinsoku/>
        <w:wordWrap w:val="0"/>
        <w:overflowPunct/>
        <w:topLinePunct/>
        <w:autoSpaceDE/>
        <w:autoSpaceDN/>
        <w:bidi w:val="0"/>
        <w:adjustRightInd w:val="0"/>
        <w:snapToGrid/>
        <w:spacing w:line="360" w:lineRule="auto"/>
        <w:textAlignment w:val="auto"/>
        <w:rPr>
          <w:rFonts w:hint="eastAsia" w:ascii="仿宋" w:hAnsi="仿宋" w:eastAsia="仿宋" w:cs="仿宋"/>
          <w:lang w:eastAsia="zh-CN"/>
        </w:rPr>
      </w:pPr>
      <w:bookmarkStart w:id="12" w:name="_Toc28359011"/>
      <w:bookmarkStart w:id="13" w:name="_Toc35393797"/>
      <w:bookmarkStart w:id="14" w:name="_Toc517793362"/>
      <w:r>
        <w:rPr>
          <w:rFonts w:hint="eastAsia" w:ascii="仿宋" w:hAnsi="仿宋" w:eastAsia="仿宋" w:cs="仿宋"/>
          <w:lang w:eastAsia="zh-CN"/>
        </w:rPr>
        <w:t>常州市金坛区直溪集镇城管中队西侧地块休闲游园新建工程</w:t>
      </w:r>
    </w:p>
    <w:p>
      <w:pPr>
        <w:pStyle w:val="3"/>
        <w:keepLines w:val="0"/>
        <w:pageBreakBefore w:val="0"/>
        <w:widowControl w:val="0"/>
        <w:tabs>
          <w:tab w:val="left" w:pos="0"/>
          <w:tab w:val="clear" w:pos="200"/>
        </w:tabs>
        <w:kinsoku/>
        <w:wordWrap w:val="0"/>
        <w:overflowPunct/>
        <w:topLinePunct/>
        <w:autoSpaceDE/>
        <w:autoSpaceDN/>
        <w:bidi w:val="0"/>
        <w:adjustRightInd w:val="0"/>
        <w:snapToGrid/>
        <w:spacing w:line="360" w:lineRule="auto"/>
        <w:textAlignment w:val="auto"/>
        <w:rPr>
          <w:rFonts w:hint="eastAsia" w:ascii="仿宋" w:hAnsi="仿宋" w:eastAsia="仿宋" w:cs="仿宋"/>
        </w:rPr>
      </w:pPr>
      <w:r>
        <w:rPr>
          <w:rFonts w:hint="eastAsia" w:ascii="仿宋" w:hAnsi="仿宋" w:eastAsia="仿宋" w:cs="仿宋"/>
        </w:rPr>
        <w:t>竞争性谈判公告</w:t>
      </w:r>
      <w:bookmarkEnd w:id="12"/>
      <w:bookmarkEnd w:id="13"/>
    </w:p>
    <w:p>
      <w:pPr>
        <w:keepLines w:val="0"/>
        <w:pageBreakBefore w:val="0"/>
        <w:widowControl w:val="0"/>
        <w:kinsoku/>
        <w:wordWrap w:val="0"/>
        <w:overflowPunct/>
        <w:topLinePunct/>
        <w:autoSpaceDE/>
        <w:autoSpaceDN/>
        <w:bidi w:val="0"/>
        <w:snapToGrid/>
        <w:spacing w:line="360" w:lineRule="auto"/>
        <w:textAlignment w:val="auto"/>
        <w:rPr>
          <w:rFonts w:hint="eastAsia" w:ascii="宋体" w:hAnsi="宋体" w:eastAsia="宋体" w:cs="宋体"/>
          <w:sz w:val="21"/>
          <w:szCs w:val="21"/>
        </w:rPr>
      </w:pPr>
    </w:p>
    <w:p>
      <w:pPr>
        <w:keepLines w:val="0"/>
        <w:pageBreakBefore w:val="0"/>
        <w:widowControl w:val="0"/>
        <w:pBdr>
          <w:top w:val="single" w:color="auto" w:sz="4" w:space="1"/>
          <w:left w:val="single" w:color="auto" w:sz="4" w:space="4"/>
          <w:bottom w:val="single" w:color="auto" w:sz="4" w:space="1"/>
          <w:right w:val="single" w:color="auto" w:sz="4" w:space="4"/>
        </w:pBdr>
        <w:kinsoku/>
        <w:wordWrap w:val="0"/>
        <w:overflowPunct/>
        <w:topLinePunct/>
        <w:autoSpaceDE/>
        <w:autoSpaceDN/>
        <w:bidi w:val="0"/>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项目概况</w:t>
      </w:r>
    </w:p>
    <w:p>
      <w:pPr>
        <w:keepLines w:val="0"/>
        <w:pageBreakBefore w:val="0"/>
        <w:widowControl w:val="0"/>
        <w:pBdr>
          <w:top w:val="single" w:color="auto" w:sz="4" w:space="1"/>
          <w:left w:val="single" w:color="auto" w:sz="4" w:space="4"/>
          <w:bottom w:val="single" w:color="auto" w:sz="4" w:space="1"/>
          <w:right w:val="single" w:color="auto" w:sz="4" w:space="4"/>
        </w:pBdr>
        <w:kinsoku/>
        <w:wordWrap w:val="0"/>
        <w:overflowPunct/>
        <w:topLinePunct/>
        <w:autoSpaceDE/>
        <w:autoSpaceDN/>
        <w:bidi w:val="0"/>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u w:val="single"/>
          <w:lang w:eastAsia="zh-CN"/>
        </w:rPr>
        <w:t>常州市金坛区直溪集镇城管中队西侧地块休闲游园新建工程</w:t>
      </w:r>
      <w:r>
        <w:rPr>
          <w:rFonts w:hint="eastAsia" w:ascii="宋体" w:hAnsi="宋体" w:eastAsia="宋体" w:cs="宋体"/>
          <w:sz w:val="21"/>
          <w:szCs w:val="21"/>
        </w:rPr>
        <w:t>的潜在供应商应在</w:t>
      </w:r>
      <w:r>
        <w:rPr>
          <w:rFonts w:hint="eastAsia" w:ascii="宋体" w:hAnsi="宋体" w:eastAsia="宋体" w:cs="宋体"/>
          <w:sz w:val="21"/>
          <w:szCs w:val="21"/>
          <w:u w:val="single"/>
          <w:lang w:eastAsia="zh-CN"/>
        </w:rPr>
        <w:t>江苏和润工程项目管理有限公司（常州市金坛区汇贤中路989号）</w:t>
      </w:r>
      <w:r>
        <w:rPr>
          <w:rFonts w:hint="eastAsia" w:ascii="宋体" w:hAnsi="宋体" w:eastAsia="宋体" w:cs="宋体"/>
          <w:sz w:val="21"/>
          <w:szCs w:val="21"/>
        </w:rPr>
        <w:t>获取采购文件，并于</w:t>
      </w:r>
      <w:r>
        <w:rPr>
          <w:rFonts w:hint="eastAsia" w:ascii="宋体" w:hAnsi="宋体" w:eastAsia="宋体" w:cs="宋体"/>
          <w:color w:val="0000FF"/>
          <w:sz w:val="21"/>
          <w:szCs w:val="21"/>
          <w:u w:val="single"/>
        </w:rPr>
        <w:t>2021</w:t>
      </w:r>
      <w:r>
        <w:rPr>
          <w:rFonts w:hint="eastAsia" w:ascii="宋体" w:hAnsi="宋体" w:eastAsia="宋体" w:cs="宋体"/>
          <w:bCs/>
          <w:color w:val="0000FF"/>
          <w:sz w:val="21"/>
          <w:szCs w:val="21"/>
          <w:u w:val="single"/>
        </w:rPr>
        <w:t>年</w:t>
      </w:r>
      <w:r>
        <w:rPr>
          <w:rFonts w:hint="eastAsia" w:ascii="宋体" w:hAnsi="宋体" w:eastAsia="宋体" w:cs="宋体"/>
          <w:bCs/>
          <w:color w:val="0000FF"/>
          <w:sz w:val="21"/>
          <w:szCs w:val="21"/>
          <w:u w:val="single"/>
          <w:lang w:val="en-US" w:eastAsia="zh-CN"/>
        </w:rPr>
        <w:t>6</w:t>
      </w:r>
      <w:r>
        <w:rPr>
          <w:rFonts w:hint="eastAsia" w:ascii="宋体" w:hAnsi="宋体" w:eastAsia="宋体" w:cs="宋体"/>
          <w:bCs/>
          <w:color w:val="0000FF"/>
          <w:sz w:val="21"/>
          <w:szCs w:val="21"/>
          <w:u w:val="single"/>
        </w:rPr>
        <w:t>月</w:t>
      </w:r>
      <w:r>
        <w:rPr>
          <w:rFonts w:hint="eastAsia" w:ascii="宋体" w:hAnsi="宋体" w:eastAsia="宋体" w:cs="宋体"/>
          <w:bCs/>
          <w:color w:val="0000FF"/>
          <w:sz w:val="21"/>
          <w:szCs w:val="21"/>
          <w:highlight w:val="yellow"/>
          <w:u w:val="single"/>
          <w:lang w:val="en-US" w:eastAsia="zh-CN"/>
        </w:rPr>
        <w:t xml:space="preserve"> </w:t>
      </w:r>
      <w:r>
        <w:rPr>
          <w:rFonts w:hint="eastAsia" w:ascii="宋体" w:hAnsi="宋体" w:cs="宋体"/>
          <w:bCs/>
          <w:color w:val="0000FF"/>
          <w:sz w:val="21"/>
          <w:szCs w:val="21"/>
          <w:highlight w:val="yellow"/>
          <w:u w:val="single"/>
          <w:lang w:val="en-US" w:eastAsia="zh-CN"/>
        </w:rPr>
        <w:t>16</w:t>
      </w:r>
      <w:r>
        <w:rPr>
          <w:rFonts w:hint="eastAsia" w:ascii="宋体" w:hAnsi="宋体" w:eastAsia="宋体" w:cs="宋体"/>
          <w:bCs/>
          <w:color w:val="0000FF"/>
          <w:sz w:val="21"/>
          <w:szCs w:val="21"/>
          <w:highlight w:val="yellow"/>
          <w:u w:val="single"/>
          <w:lang w:val="en-US" w:eastAsia="zh-CN"/>
        </w:rPr>
        <w:t xml:space="preserve">  </w:t>
      </w:r>
      <w:r>
        <w:rPr>
          <w:rFonts w:hint="eastAsia" w:ascii="宋体" w:hAnsi="宋体" w:eastAsia="宋体" w:cs="宋体"/>
          <w:bCs/>
          <w:color w:val="0000FF"/>
          <w:sz w:val="21"/>
          <w:szCs w:val="21"/>
          <w:u w:val="single"/>
        </w:rPr>
        <w:t>日</w:t>
      </w:r>
      <w:r>
        <w:rPr>
          <w:rFonts w:hint="eastAsia" w:ascii="宋体" w:hAnsi="宋体" w:cs="宋体"/>
          <w:bCs/>
          <w:color w:val="0000FF"/>
          <w:sz w:val="21"/>
          <w:szCs w:val="21"/>
          <w:u w:val="single"/>
          <w:lang w:val="en-US" w:eastAsia="zh-CN"/>
        </w:rPr>
        <w:t>15</w:t>
      </w:r>
      <w:r>
        <w:rPr>
          <w:rFonts w:hint="eastAsia" w:ascii="宋体" w:hAnsi="宋体" w:eastAsia="宋体" w:cs="宋体"/>
          <w:bCs/>
          <w:color w:val="0000FF"/>
          <w:sz w:val="21"/>
          <w:szCs w:val="21"/>
          <w:u w:val="single"/>
        </w:rPr>
        <w:t>点</w:t>
      </w:r>
      <w:r>
        <w:rPr>
          <w:rFonts w:hint="eastAsia" w:ascii="宋体" w:hAnsi="宋体" w:cs="宋体"/>
          <w:bCs/>
          <w:color w:val="0000FF"/>
          <w:sz w:val="21"/>
          <w:szCs w:val="21"/>
          <w:u w:val="single"/>
          <w:lang w:val="en-US" w:eastAsia="zh-CN"/>
        </w:rPr>
        <w:t>00</w:t>
      </w:r>
      <w:r>
        <w:rPr>
          <w:rFonts w:hint="eastAsia" w:ascii="宋体" w:hAnsi="宋体" w:eastAsia="宋体" w:cs="宋体"/>
          <w:bCs/>
          <w:color w:val="0000FF"/>
          <w:sz w:val="21"/>
          <w:szCs w:val="21"/>
          <w:u w:val="single"/>
        </w:rPr>
        <w:t>分</w:t>
      </w:r>
      <w:r>
        <w:rPr>
          <w:rFonts w:hint="eastAsia" w:ascii="宋体" w:hAnsi="宋体" w:eastAsia="宋体" w:cs="宋体"/>
          <w:bCs/>
          <w:sz w:val="21"/>
          <w:szCs w:val="21"/>
        </w:rPr>
        <w:t>（北京时间）前提交响应文件</w:t>
      </w:r>
      <w:r>
        <w:rPr>
          <w:rFonts w:hint="eastAsia" w:ascii="宋体" w:hAnsi="宋体" w:eastAsia="宋体" w:cs="宋体"/>
          <w:sz w:val="21"/>
          <w:szCs w:val="21"/>
        </w:rPr>
        <w:t>。</w:t>
      </w:r>
    </w:p>
    <w:p>
      <w:pPr>
        <w:keepLines w:val="0"/>
        <w:pageBreakBefore w:val="0"/>
        <w:widowControl w:val="0"/>
        <w:kinsoku/>
        <w:wordWrap w:val="0"/>
        <w:overflowPunct/>
        <w:topLinePunct/>
        <w:autoSpaceDE/>
        <w:autoSpaceDN/>
        <w:bidi w:val="0"/>
        <w:snapToGrid/>
        <w:spacing w:line="360" w:lineRule="auto"/>
        <w:textAlignment w:val="auto"/>
        <w:rPr>
          <w:rFonts w:hint="eastAsia" w:ascii="宋体" w:hAnsi="宋体" w:eastAsia="宋体" w:cs="宋体"/>
          <w:sz w:val="21"/>
          <w:szCs w:val="21"/>
        </w:rPr>
      </w:pP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bookmarkStart w:id="15" w:name="_Toc35393798"/>
      <w:bookmarkStart w:id="16" w:name="_Toc35393629"/>
      <w:bookmarkStart w:id="17" w:name="_Toc28359012"/>
      <w:bookmarkStart w:id="18" w:name="_Toc28359089"/>
      <w:r>
        <w:rPr>
          <w:rFonts w:hint="eastAsia" w:ascii="宋体" w:hAnsi="宋体" w:eastAsia="宋体" w:cs="宋体"/>
          <w:b w:val="0"/>
          <w:sz w:val="21"/>
          <w:szCs w:val="21"/>
        </w:rPr>
        <w:t>一、项目基本情况</w:t>
      </w:r>
      <w:bookmarkEnd w:id="15"/>
      <w:bookmarkEnd w:id="16"/>
      <w:bookmarkEnd w:id="17"/>
      <w:bookmarkEnd w:id="18"/>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项目编号：</w:t>
      </w:r>
      <w:r>
        <w:rPr>
          <w:rFonts w:hint="eastAsia" w:ascii="宋体" w:hAnsi="宋体" w:eastAsia="宋体" w:cs="宋体"/>
          <w:sz w:val="21"/>
          <w:szCs w:val="21"/>
          <w:lang w:eastAsia="zh-CN"/>
        </w:rPr>
        <w:t>zxzb2021081</w:t>
      </w:r>
      <w:r>
        <w:rPr>
          <w:rFonts w:hint="eastAsia" w:ascii="宋体" w:hAnsi="宋体" w:eastAsia="宋体" w:cs="宋体"/>
          <w:sz w:val="21"/>
          <w:szCs w:val="21"/>
        </w:rPr>
        <w:t xml:space="preserve"> </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u w:val="single"/>
          <w:lang w:eastAsia="zh-CN"/>
        </w:rPr>
      </w:pPr>
      <w:r>
        <w:rPr>
          <w:rFonts w:hint="eastAsia" w:ascii="宋体" w:hAnsi="宋体" w:eastAsia="宋体" w:cs="宋体"/>
          <w:sz w:val="21"/>
          <w:szCs w:val="21"/>
        </w:rPr>
        <w:t>项目名称：</w:t>
      </w:r>
      <w:r>
        <w:rPr>
          <w:rFonts w:hint="eastAsia" w:ascii="宋体" w:hAnsi="宋体" w:eastAsia="宋体" w:cs="宋体"/>
          <w:sz w:val="21"/>
          <w:szCs w:val="21"/>
          <w:lang w:eastAsia="zh-CN"/>
        </w:rPr>
        <w:t>常州市金坛区直溪集镇城管中队西侧地块休闲游园新建工程</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采购方式：</w:t>
      </w:r>
      <w:r>
        <w:rPr>
          <w:rFonts w:hint="eastAsia" w:ascii="宋体" w:hAnsi="宋体" w:eastAsia="宋体" w:cs="宋体"/>
          <w:sz w:val="21"/>
          <w:szCs w:val="21"/>
        </w:rPr>
        <w:sym w:font="Wingdings" w:char="00FE"/>
      </w:r>
      <w:r>
        <w:rPr>
          <w:rFonts w:hint="eastAsia" w:ascii="宋体" w:hAnsi="宋体" w:eastAsia="宋体" w:cs="宋体"/>
          <w:sz w:val="21"/>
          <w:szCs w:val="21"/>
        </w:rPr>
        <w:t xml:space="preserve">竞争性谈判 </w:t>
      </w:r>
      <w:r>
        <w:rPr>
          <w:rFonts w:hint="eastAsia" w:ascii="宋体" w:hAnsi="宋体" w:eastAsia="宋体" w:cs="宋体"/>
          <w:sz w:val="21"/>
          <w:szCs w:val="21"/>
        </w:rPr>
        <w:sym w:font="Wingdings" w:char="00A8"/>
      </w:r>
      <w:r>
        <w:rPr>
          <w:rFonts w:hint="eastAsia" w:ascii="宋体" w:hAnsi="宋体" w:eastAsia="宋体" w:cs="宋体"/>
          <w:sz w:val="21"/>
          <w:szCs w:val="21"/>
        </w:rPr>
        <w:t>竞争性磋商 □询价</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rPr>
        <w:t>预算金额：</w:t>
      </w:r>
      <w:r>
        <w:rPr>
          <w:rFonts w:hint="eastAsia" w:ascii="宋体" w:hAnsi="宋体" w:eastAsia="宋体" w:cs="宋体"/>
          <w:sz w:val="21"/>
          <w:szCs w:val="21"/>
          <w:highlight w:val="none"/>
        </w:rPr>
        <w:t>人民币</w:t>
      </w:r>
      <w:r>
        <w:rPr>
          <w:rFonts w:hint="eastAsia" w:ascii="宋体" w:hAnsi="宋体" w:eastAsia="宋体" w:cs="宋体"/>
          <w:sz w:val="21"/>
          <w:szCs w:val="21"/>
          <w:highlight w:val="none"/>
          <w:lang w:val="en-US" w:eastAsia="zh-CN"/>
        </w:rPr>
        <w:t>96.8</w:t>
      </w:r>
      <w:r>
        <w:rPr>
          <w:rFonts w:hint="eastAsia" w:ascii="宋体" w:hAnsi="宋体" w:eastAsia="宋体" w:cs="宋体"/>
          <w:sz w:val="21"/>
          <w:szCs w:val="21"/>
          <w:highlight w:val="none"/>
        </w:rPr>
        <w:t>万元</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highlight w:val="none"/>
        </w:rPr>
        <w:t>最高限价：</w:t>
      </w:r>
      <w:r>
        <w:rPr>
          <w:rFonts w:hint="eastAsia" w:ascii="宋体" w:hAnsi="宋体" w:eastAsia="宋体" w:cs="宋体"/>
          <w:sz w:val="21"/>
          <w:szCs w:val="21"/>
          <w:highlight w:val="yellow"/>
          <w:lang w:val="en-US" w:eastAsia="zh-CN"/>
        </w:rPr>
        <w:t xml:space="preserve"> 966501.17 </w:t>
      </w:r>
      <w:r>
        <w:rPr>
          <w:rFonts w:hint="eastAsia" w:ascii="宋体" w:hAnsi="宋体" w:eastAsia="宋体" w:cs="宋体"/>
          <w:sz w:val="21"/>
          <w:szCs w:val="21"/>
          <w:highlight w:val="none"/>
        </w:rPr>
        <w:t>元</w:t>
      </w:r>
      <w:r>
        <w:rPr>
          <w:rFonts w:hint="eastAsia" w:ascii="宋体" w:hAnsi="宋体" w:eastAsia="宋体" w:cs="宋体"/>
          <w:sz w:val="21"/>
          <w:szCs w:val="21"/>
        </w:rPr>
        <w:t>，投标报价超过采购最高限价的作无效报价文件处理</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color w:val="auto"/>
          <w:sz w:val="21"/>
          <w:szCs w:val="21"/>
          <w:u w:val="single"/>
        </w:rPr>
      </w:pPr>
      <w:r>
        <w:rPr>
          <w:rFonts w:hint="eastAsia" w:ascii="宋体" w:hAnsi="宋体" w:eastAsia="宋体" w:cs="宋体"/>
          <w:sz w:val="21"/>
          <w:szCs w:val="21"/>
        </w:rPr>
        <w:t>采购需</w:t>
      </w:r>
      <w:r>
        <w:rPr>
          <w:rFonts w:hint="eastAsia" w:ascii="宋体" w:hAnsi="宋体" w:eastAsia="宋体" w:cs="宋体"/>
          <w:color w:val="auto"/>
          <w:sz w:val="21"/>
          <w:szCs w:val="21"/>
        </w:rPr>
        <w:t>求：工程量范围内全部。</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合同履行期限：</w:t>
      </w:r>
      <w:r>
        <w:rPr>
          <w:rFonts w:hint="eastAsia" w:ascii="宋体" w:hAnsi="宋体" w:eastAsia="宋体" w:cs="宋体"/>
          <w:color w:val="auto"/>
          <w:sz w:val="21"/>
          <w:szCs w:val="21"/>
          <w:lang w:val="en-US" w:eastAsia="zh-CN"/>
        </w:rPr>
        <w:t>90</w:t>
      </w:r>
      <w:r>
        <w:rPr>
          <w:rFonts w:hint="eastAsia" w:ascii="宋体" w:hAnsi="宋体" w:eastAsia="宋体" w:cs="宋体"/>
          <w:color w:val="auto"/>
          <w:sz w:val="21"/>
          <w:szCs w:val="21"/>
        </w:rPr>
        <w:t>日历天。</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本项目不接受联合体。</w:t>
      </w: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bookmarkStart w:id="19" w:name="_Toc28359013"/>
      <w:bookmarkStart w:id="20" w:name="_Toc35393630"/>
      <w:bookmarkStart w:id="21" w:name="_Toc28359090"/>
      <w:bookmarkStart w:id="22" w:name="_Toc35393799"/>
      <w:r>
        <w:rPr>
          <w:rFonts w:hint="eastAsia" w:ascii="宋体" w:hAnsi="宋体" w:eastAsia="宋体" w:cs="宋体"/>
          <w:b w:val="0"/>
          <w:sz w:val="21"/>
          <w:szCs w:val="21"/>
        </w:rPr>
        <w:t>二、申请人的资格要求：</w:t>
      </w:r>
      <w:bookmarkEnd w:id="19"/>
      <w:bookmarkEnd w:id="20"/>
      <w:bookmarkEnd w:id="21"/>
      <w:bookmarkEnd w:id="22"/>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1.满足《中华人民共和国政府采购法》第二十二条规定；</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bookmarkStart w:id="23" w:name="_Toc28359091"/>
      <w:bookmarkStart w:id="24" w:name="_Toc28359014"/>
      <w:r>
        <w:rPr>
          <w:rFonts w:hint="eastAsia" w:ascii="宋体" w:hAnsi="宋体" w:eastAsia="宋体" w:cs="宋体"/>
          <w:sz w:val="21"/>
          <w:szCs w:val="21"/>
        </w:rPr>
        <w:t>2.落实政府采购政策需满足的资格要求：</w:t>
      </w:r>
      <w:r>
        <w:rPr>
          <w:rFonts w:hint="eastAsia" w:ascii="宋体" w:hAnsi="宋体" w:eastAsia="宋体" w:cs="宋体"/>
          <w:sz w:val="21"/>
          <w:szCs w:val="21"/>
          <w:u w:val="single"/>
        </w:rPr>
        <w:t>无</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3.本项目的特定资格要求：</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lang w:val="zh-CN"/>
        </w:rPr>
      </w:pPr>
      <w:r>
        <w:rPr>
          <w:rFonts w:hint="eastAsia" w:ascii="宋体" w:hAnsi="宋体" w:eastAsia="宋体" w:cs="宋体"/>
          <w:sz w:val="21"/>
          <w:szCs w:val="21"/>
        </w:rPr>
        <w:t>（1）</w:t>
      </w:r>
      <w:r>
        <w:rPr>
          <w:rFonts w:hint="eastAsia" w:ascii="宋体" w:hAnsi="宋体" w:eastAsia="宋体" w:cs="宋体"/>
          <w:sz w:val="21"/>
          <w:szCs w:val="21"/>
          <w:lang w:val="zh-CN"/>
        </w:rPr>
        <w:t>具有市政公用工程施工总承包三级（含）以上资质；</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lang w:val="zh-CN"/>
        </w:rPr>
      </w:pPr>
      <w:r>
        <w:rPr>
          <w:rFonts w:hint="eastAsia" w:ascii="宋体" w:hAnsi="宋体" w:eastAsia="宋体" w:cs="宋体"/>
          <w:sz w:val="21"/>
          <w:szCs w:val="21"/>
        </w:rPr>
        <w:t>（2）</w:t>
      </w:r>
      <w:r>
        <w:rPr>
          <w:rFonts w:hint="eastAsia" w:ascii="宋体" w:hAnsi="宋体" w:eastAsia="宋体" w:cs="宋体"/>
          <w:sz w:val="21"/>
          <w:szCs w:val="21"/>
          <w:lang w:val="zh-CN"/>
        </w:rPr>
        <w:t>具有有效期内的安全生产许可证；</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lang w:val="zh-CN"/>
        </w:rPr>
      </w:pPr>
      <w:r>
        <w:rPr>
          <w:rFonts w:hint="eastAsia" w:ascii="宋体" w:hAnsi="宋体" w:eastAsia="宋体" w:cs="宋体"/>
          <w:sz w:val="21"/>
          <w:szCs w:val="21"/>
        </w:rPr>
        <w:t>（3）项目负责人</w:t>
      </w:r>
      <w:r>
        <w:rPr>
          <w:rFonts w:hint="eastAsia" w:ascii="宋体" w:hAnsi="宋体" w:eastAsia="宋体" w:cs="宋体"/>
          <w:sz w:val="21"/>
          <w:szCs w:val="21"/>
          <w:lang w:val="zh-CN"/>
        </w:rPr>
        <w:t>：市政公用工程二级建造师（含）以上资质及建设行政主管部门颁发的安全生产考核证书B证；</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注：严禁转包、转让、挂靠，一旦发现中标单位存在非法转包、转让、挂靠等行为的，将依法进行处理，给采购人造成损失的依法承担赔偿责任。同时以后不得参加采购人的所有项目投标。</w:t>
      </w: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bookmarkStart w:id="25" w:name="_Toc35393631"/>
      <w:bookmarkStart w:id="26" w:name="_Toc35393800"/>
      <w:r>
        <w:rPr>
          <w:rFonts w:hint="eastAsia" w:ascii="宋体" w:hAnsi="宋体" w:eastAsia="宋体" w:cs="宋体"/>
          <w:b w:val="0"/>
          <w:sz w:val="21"/>
          <w:szCs w:val="21"/>
        </w:rPr>
        <w:t>三、获取采购文件</w:t>
      </w:r>
      <w:bookmarkEnd w:id="23"/>
      <w:bookmarkEnd w:id="24"/>
      <w:bookmarkEnd w:id="25"/>
      <w:bookmarkEnd w:id="26"/>
    </w:p>
    <w:p>
      <w:pPr>
        <w:keepLines w:val="0"/>
        <w:pageBreakBefore w:val="0"/>
        <w:widowControl w:val="0"/>
        <w:kinsoku/>
        <w:wordWrap w:val="0"/>
        <w:overflowPunct/>
        <w:topLinePunct/>
        <w:autoSpaceDE/>
        <w:autoSpaceDN/>
        <w:bidi w:val="0"/>
        <w:snapToGrid/>
        <w:spacing w:line="360" w:lineRule="auto"/>
        <w:ind w:firstLine="540"/>
        <w:jc w:val="left"/>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color w:val="0000FF"/>
          <w:sz w:val="21"/>
          <w:szCs w:val="21"/>
          <w:u w:val="single"/>
        </w:rPr>
        <w:t>2021年</w:t>
      </w:r>
      <w:r>
        <w:rPr>
          <w:rFonts w:hint="eastAsia" w:ascii="宋体" w:hAnsi="宋体" w:eastAsia="宋体" w:cs="宋体"/>
          <w:color w:val="0000FF"/>
          <w:sz w:val="21"/>
          <w:szCs w:val="21"/>
          <w:u w:val="single"/>
          <w:lang w:val="en-US" w:eastAsia="zh-CN"/>
        </w:rPr>
        <w:t>6</w:t>
      </w:r>
      <w:r>
        <w:rPr>
          <w:rFonts w:hint="eastAsia" w:ascii="宋体" w:hAnsi="宋体" w:eastAsia="宋体" w:cs="宋体"/>
          <w:color w:val="0000FF"/>
          <w:sz w:val="21"/>
          <w:szCs w:val="21"/>
          <w:u w:val="single"/>
        </w:rPr>
        <w:t>月</w:t>
      </w:r>
      <w:r>
        <w:rPr>
          <w:rFonts w:hint="eastAsia" w:ascii="宋体" w:hAnsi="宋体" w:eastAsia="宋体" w:cs="宋体"/>
          <w:color w:val="0000FF"/>
          <w:sz w:val="21"/>
          <w:szCs w:val="21"/>
          <w:highlight w:val="yellow"/>
          <w:u w:val="single"/>
          <w:lang w:val="en-US" w:eastAsia="zh-CN"/>
        </w:rPr>
        <w:t xml:space="preserve"> </w:t>
      </w:r>
      <w:r>
        <w:rPr>
          <w:rFonts w:hint="eastAsia" w:ascii="宋体" w:hAnsi="宋体" w:cs="宋体"/>
          <w:color w:val="0000FF"/>
          <w:sz w:val="21"/>
          <w:szCs w:val="21"/>
          <w:highlight w:val="yellow"/>
          <w:u w:val="single"/>
          <w:lang w:val="en-US" w:eastAsia="zh-CN"/>
        </w:rPr>
        <w:t>4</w:t>
      </w:r>
      <w:r>
        <w:rPr>
          <w:rFonts w:hint="eastAsia" w:ascii="宋体" w:hAnsi="宋体" w:eastAsia="宋体" w:cs="宋体"/>
          <w:color w:val="0000FF"/>
          <w:sz w:val="21"/>
          <w:szCs w:val="21"/>
          <w:u w:val="single"/>
        </w:rPr>
        <w:t>日</w:t>
      </w:r>
      <w:r>
        <w:rPr>
          <w:rFonts w:hint="eastAsia" w:ascii="宋体" w:hAnsi="宋体" w:eastAsia="宋体" w:cs="宋体"/>
          <w:color w:val="0000FF"/>
          <w:sz w:val="21"/>
          <w:szCs w:val="21"/>
        </w:rPr>
        <w:t>至</w:t>
      </w:r>
      <w:r>
        <w:rPr>
          <w:rFonts w:hint="eastAsia" w:ascii="宋体" w:hAnsi="宋体" w:eastAsia="宋体" w:cs="宋体"/>
          <w:color w:val="0000FF"/>
          <w:sz w:val="21"/>
          <w:szCs w:val="21"/>
          <w:u w:val="single"/>
        </w:rPr>
        <w:t>2021年</w:t>
      </w:r>
      <w:r>
        <w:rPr>
          <w:rFonts w:hint="eastAsia" w:ascii="宋体" w:hAnsi="宋体" w:eastAsia="宋体" w:cs="宋体"/>
          <w:color w:val="0000FF"/>
          <w:sz w:val="21"/>
          <w:szCs w:val="21"/>
          <w:u w:val="single"/>
          <w:lang w:val="en-US" w:eastAsia="zh-CN"/>
        </w:rPr>
        <w:t>6</w:t>
      </w:r>
      <w:r>
        <w:rPr>
          <w:rFonts w:hint="eastAsia" w:ascii="宋体" w:hAnsi="宋体" w:eastAsia="宋体" w:cs="宋体"/>
          <w:color w:val="0000FF"/>
          <w:sz w:val="21"/>
          <w:szCs w:val="21"/>
          <w:u w:val="single"/>
        </w:rPr>
        <w:t>月</w:t>
      </w:r>
      <w:r>
        <w:rPr>
          <w:rFonts w:hint="eastAsia" w:ascii="宋体" w:hAnsi="宋体" w:eastAsia="宋体" w:cs="宋体"/>
          <w:color w:val="0000FF"/>
          <w:sz w:val="21"/>
          <w:szCs w:val="21"/>
          <w:highlight w:val="yellow"/>
          <w:u w:val="single"/>
          <w:lang w:val="en-US" w:eastAsia="zh-CN"/>
        </w:rPr>
        <w:t xml:space="preserve"> </w:t>
      </w:r>
      <w:r>
        <w:rPr>
          <w:rFonts w:hint="eastAsia" w:ascii="宋体" w:hAnsi="宋体" w:cs="宋体"/>
          <w:color w:val="0000FF"/>
          <w:sz w:val="21"/>
          <w:szCs w:val="21"/>
          <w:highlight w:val="yellow"/>
          <w:u w:val="single"/>
          <w:lang w:val="en-US" w:eastAsia="zh-CN"/>
        </w:rPr>
        <w:t>9</w:t>
      </w:r>
      <w:r>
        <w:rPr>
          <w:rFonts w:hint="eastAsia" w:ascii="宋体" w:hAnsi="宋体" w:eastAsia="宋体" w:cs="宋体"/>
          <w:color w:val="0000FF"/>
          <w:sz w:val="21"/>
          <w:szCs w:val="21"/>
          <w:u w:val="single"/>
        </w:rPr>
        <w:t>日</w:t>
      </w:r>
      <w:r>
        <w:rPr>
          <w:rFonts w:hint="eastAsia" w:ascii="宋体" w:hAnsi="宋体" w:eastAsia="宋体" w:cs="宋体"/>
          <w:sz w:val="21"/>
          <w:szCs w:val="21"/>
        </w:rPr>
        <w:t>，每天上午</w:t>
      </w:r>
      <w:r>
        <w:rPr>
          <w:rFonts w:hint="eastAsia" w:ascii="宋体" w:hAnsi="宋体" w:eastAsia="宋体" w:cs="宋体"/>
          <w:sz w:val="21"/>
          <w:szCs w:val="21"/>
          <w:u w:val="single"/>
        </w:rPr>
        <w:t>8:30</w:t>
      </w:r>
      <w:r>
        <w:rPr>
          <w:rFonts w:hint="eastAsia" w:ascii="宋体" w:hAnsi="宋体" w:eastAsia="宋体" w:cs="宋体"/>
          <w:sz w:val="21"/>
          <w:szCs w:val="21"/>
        </w:rPr>
        <w:t>至</w:t>
      </w:r>
      <w:r>
        <w:rPr>
          <w:rFonts w:hint="eastAsia" w:ascii="宋体" w:hAnsi="宋体" w:eastAsia="宋体" w:cs="宋体"/>
          <w:sz w:val="21"/>
          <w:szCs w:val="21"/>
          <w:u w:val="single"/>
        </w:rPr>
        <w:t>11:30</w:t>
      </w:r>
      <w:r>
        <w:rPr>
          <w:rFonts w:hint="eastAsia" w:ascii="宋体" w:hAnsi="宋体" w:eastAsia="宋体" w:cs="宋体"/>
          <w:sz w:val="21"/>
          <w:szCs w:val="21"/>
        </w:rPr>
        <w:t>，下午</w:t>
      </w:r>
      <w:r>
        <w:rPr>
          <w:rFonts w:hint="eastAsia" w:ascii="宋体" w:hAnsi="宋体" w:eastAsia="宋体" w:cs="宋体"/>
          <w:sz w:val="21"/>
          <w:szCs w:val="21"/>
          <w:u w:val="single"/>
        </w:rPr>
        <w:t>14:00</w:t>
      </w:r>
      <w:r>
        <w:rPr>
          <w:rFonts w:hint="eastAsia" w:ascii="宋体" w:hAnsi="宋体" w:eastAsia="宋体" w:cs="宋体"/>
          <w:sz w:val="21"/>
          <w:szCs w:val="21"/>
        </w:rPr>
        <w:t>至</w:t>
      </w:r>
      <w:r>
        <w:rPr>
          <w:rFonts w:hint="eastAsia" w:ascii="宋体" w:hAnsi="宋体" w:eastAsia="宋体" w:cs="宋体"/>
          <w:sz w:val="21"/>
          <w:szCs w:val="21"/>
          <w:u w:val="single"/>
        </w:rPr>
        <w:t>17:30</w:t>
      </w:r>
      <w:r>
        <w:rPr>
          <w:rFonts w:hint="eastAsia" w:ascii="宋体" w:hAnsi="宋体" w:eastAsia="宋体" w:cs="宋体"/>
          <w:sz w:val="21"/>
          <w:szCs w:val="21"/>
        </w:rPr>
        <w:t>（北京时间，法定节假日除外）</w:t>
      </w:r>
    </w:p>
    <w:p>
      <w:pPr>
        <w:keepLines w:val="0"/>
        <w:pageBreakBefore w:val="0"/>
        <w:widowControl w:val="0"/>
        <w:kinsoku/>
        <w:wordWrap w:val="0"/>
        <w:overflowPunct/>
        <w:topLinePunct/>
        <w:autoSpaceDE/>
        <w:autoSpaceDN/>
        <w:bidi w:val="0"/>
        <w:snapToGrid/>
        <w:spacing w:line="360" w:lineRule="auto"/>
        <w:ind w:firstLine="540"/>
        <w:jc w:val="left"/>
        <w:textAlignment w:val="auto"/>
        <w:rPr>
          <w:rFonts w:hint="eastAsia" w:ascii="宋体" w:hAnsi="宋体" w:eastAsia="宋体" w:cs="宋体"/>
          <w:sz w:val="21"/>
          <w:szCs w:val="21"/>
          <w:u w:val="single"/>
        </w:rPr>
      </w:pPr>
      <w:r>
        <w:rPr>
          <w:rFonts w:hint="eastAsia" w:ascii="宋体" w:hAnsi="宋体" w:eastAsia="宋体" w:cs="宋体"/>
          <w:sz w:val="21"/>
          <w:szCs w:val="21"/>
        </w:rPr>
        <w:t>地点：</w:t>
      </w:r>
      <w:r>
        <w:rPr>
          <w:rFonts w:hint="eastAsia" w:ascii="宋体" w:hAnsi="宋体" w:eastAsia="宋体" w:cs="宋体"/>
          <w:sz w:val="21"/>
          <w:szCs w:val="21"/>
          <w:lang w:eastAsia="zh-CN"/>
        </w:rPr>
        <w:t>江苏和润工程项目管理有限公司（常州市金坛区汇贤中路989号）</w:t>
      </w:r>
      <w:r>
        <w:rPr>
          <w:rFonts w:hint="eastAsia" w:ascii="宋体" w:hAnsi="宋体" w:eastAsia="宋体" w:cs="宋体"/>
          <w:sz w:val="21"/>
          <w:szCs w:val="21"/>
        </w:rPr>
        <w:t>。</w:t>
      </w:r>
    </w:p>
    <w:p>
      <w:pPr>
        <w:keepLines w:val="0"/>
        <w:pageBreakBefore w:val="0"/>
        <w:widowControl w:val="0"/>
        <w:kinsoku/>
        <w:wordWrap w:val="0"/>
        <w:overflowPunct/>
        <w:topLinePunct/>
        <w:autoSpaceDE/>
        <w:autoSpaceDN/>
        <w:bidi w:val="0"/>
        <w:snapToGrid/>
        <w:spacing w:line="360" w:lineRule="auto"/>
        <w:ind w:firstLine="54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方式：符合报名条件且有意参本项目的投标单位在公告期间携带报名申请表、授权委托书、营业执照（复印件三份加盖公章）至江苏和润工程项目管理有限公司报名。</w:t>
      </w:r>
    </w:p>
    <w:p>
      <w:pPr>
        <w:keepLines w:val="0"/>
        <w:pageBreakBefore w:val="0"/>
        <w:widowControl w:val="0"/>
        <w:kinsoku/>
        <w:wordWrap w:val="0"/>
        <w:overflowPunct/>
        <w:topLinePunct/>
        <w:autoSpaceDE/>
        <w:autoSpaceDN/>
        <w:bidi w:val="0"/>
        <w:snapToGrid/>
        <w:spacing w:line="360" w:lineRule="auto"/>
        <w:ind w:firstLine="540"/>
        <w:jc w:val="left"/>
        <w:textAlignment w:val="auto"/>
        <w:rPr>
          <w:rFonts w:hint="eastAsia" w:ascii="宋体" w:hAnsi="宋体" w:eastAsia="宋体" w:cs="宋体"/>
          <w:sz w:val="21"/>
          <w:szCs w:val="21"/>
        </w:rPr>
      </w:pPr>
      <w:r>
        <w:rPr>
          <w:rFonts w:hint="eastAsia" w:ascii="宋体" w:hAnsi="宋体" w:eastAsia="宋体" w:cs="宋体"/>
          <w:sz w:val="21"/>
          <w:szCs w:val="21"/>
        </w:rPr>
        <w:t>售价：人民币</w:t>
      </w:r>
      <w:r>
        <w:rPr>
          <w:rFonts w:hint="eastAsia" w:ascii="宋体" w:hAnsi="宋体" w:eastAsia="宋体" w:cs="宋体"/>
          <w:sz w:val="21"/>
          <w:szCs w:val="21"/>
          <w:lang w:val="en-US" w:eastAsia="zh-CN"/>
        </w:rPr>
        <w:t>贰</w:t>
      </w:r>
      <w:r>
        <w:rPr>
          <w:rFonts w:hint="eastAsia" w:ascii="宋体" w:hAnsi="宋体" w:eastAsia="宋体" w:cs="宋体"/>
          <w:sz w:val="21"/>
          <w:szCs w:val="21"/>
        </w:rPr>
        <w:t>佰元/份，售后不退，由招标代理统一开具收据。</w:t>
      </w: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bookmarkStart w:id="27" w:name="_Toc35393632"/>
      <w:bookmarkStart w:id="28" w:name="_Toc28359015"/>
      <w:bookmarkStart w:id="29" w:name="_Toc35393801"/>
      <w:bookmarkStart w:id="30" w:name="_Toc28359092"/>
      <w:r>
        <w:rPr>
          <w:rFonts w:hint="eastAsia" w:ascii="宋体" w:hAnsi="宋体" w:eastAsia="宋体" w:cs="宋体"/>
          <w:b w:val="0"/>
          <w:sz w:val="21"/>
          <w:szCs w:val="21"/>
        </w:rPr>
        <w:t>四、响应文件提交</w:t>
      </w:r>
      <w:bookmarkEnd w:id="27"/>
      <w:bookmarkEnd w:id="28"/>
      <w:bookmarkEnd w:id="29"/>
      <w:bookmarkEnd w:id="30"/>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sz w:val="21"/>
          <w:szCs w:val="21"/>
        </w:rPr>
        <w:t>截止时间</w:t>
      </w:r>
      <w:r>
        <w:rPr>
          <w:rFonts w:hint="eastAsia" w:ascii="宋体" w:hAnsi="宋体" w:eastAsia="宋体" w:cs="宋体"/>
          <w:color w:val="auto"/>
          <w:sz w:val="21"/>
          <w:szCs w:val="21"/>
        </w:rPr>
        <w:t>：2021年</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月</w:t>
      </w:r>
      <w:r>
        <w:rPr>
          <w:rFonts w:hint="eastAsia" w:ascii="宋体" w:hAnsi="宋体" w:eastAsia="宋体" w:cs="宋体"/>
          <w:color w:val="auto"/>
          <w:sz w:val="21"/>
          <w:szCs w:val="21"/>
          <w:highlight w:val="yellow"/>
          <w:lang w:val="en-US" w:eastAsia="zh-CN"/>
        </w:rPr>
        <w:t xml:space="preserve"> </w:t>
      </w:r>
      <w:r>
        <w:rPr>
          <w:rFonts w:hint="eastAsia" w:ascii="宋体" w:hAnsi="宋体" w:cs="宋体"/>
          <w:color w:val="auto"/>
          <w:sz w:val="21"/>
          <w:szCs w:val="21"/>
          <w:highlight w:val="yellow"/>
          <w:lang w:val="en-US" w:eastAsia="zh-CN"/>
        </w:rPr>
        <w:t>16</w:t>
      </w:r>
      <w:r>
        <w:rPr>
          <w:rFonts w:hint="eastAsia" w:ascii="宋体" w:hAnsi="宋体" w:eastAsia="宋体" w:cs="宋体"/>
          <w:color w:val="auto"/>
          <w:sz w:val="21"/>
          <w:szCs w:val="21"/>
          <w:highlight w:val="yellow"/>
          <w:lang w:val="en-US" w:eastAsia="zh-CN"/>
        </w:rPr>
        <w:t xml:space="preserve"> </w:t>
      </w:r>
      <w:r>
        <w:rPr>
          <w:rFonts w:hint="eastAsia" w:ascii="宋体" w:hAnsi="宋体" w:eastAsia="宋体" w:cs="宋体"/>
          <w:color w:val="auto"/>
          <w:sz w:val="21"/>
          <w:szCs w:val="21"/>
        </w:rPr>
        <w:t>日</w:t>
      </w:r>
      <w:r>
        <w:rPr>
          <w:rFonts w:hint="eastAsia" w:ascii="宋体" w:hAnsi="宋体" w:cs="宋体"/>
          <w:bCs/>
          <w:color w:val="auto"/>
          <w:sz w:val="21"/>
          <w:szCs w:val="21"/>
          <w:lang w:val="en-US" w:eastAsia="zh-CN"/>
        </w:rPr>
        <w:t>15</w:t>
      </w:r>
      <w:r>
        <w:rPr>
          <w:rFonts w:hint="eastAsia" w:ascii="宋体" w:hAnsi="宋体" w:eastAsia="宋体" w:cs="宋体"/>
          <w:bCs/>
          <w:color w:val="auto"/>
          <w:sz w:val="21"/>
          <w:szCs w:val="21"/>
        </w:rPr>
        <w:t>点</w:t>
      </w:r>
      <w:r>
        <w:rPr>
          <w:rFonts w:hint="eastAsia" w:ascii="宋体" w:hAnsi="宋体" w:cs="宋体"/>
          <w:bCs/>
          <w:color w:val="auto"/>
          <w:sz w:val="21"/>
          <w:szCs w:val="21"/>
          <w:lang w:val="en-US" w:eastAsia="zh-CN"/>
        </w:rPr>
        <w:t>0</w:t>
      </w:r>
      <w:r>
        <w:rPr>
          <w:rFonts w:hint="eastAsia" w:ascii="宋体" w:hAnsi="宋体" w:eastAsia="宋体" w:cs="宋体"/>
          <w:bCs/>
          <w:color w:val="auto"/>
          <w:sz w:val="21"/>
          <w:szCs w:val="21"/>
        </w:rPr>
        <w:t>0分（北京时间）</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地点：</w:t>
      </w:r>
      <w:r>
        <w:rPr>
          <w:rFonts w:hint="eastAsia" w:ascii="宋体" w:hAnsi="宋体" w:eastAsia="宋体" w:cs="宋体"/>
          <w:sz w:val="21"/>
          <w:szCs w:val="21"/>
          <w:u w:val="single"/>
          <w:lang w:eastAsia="zh-CN"/>
        </w:rPr>
        <w:t>江苏和润工程项目管理有限公司</w:t>
      </w:r>
      <w:r>
        <w:rPr>
          <w:rFonts w:hint="eastAsia" w:ascii="宋体" w:hAnsi="宋体" w:eastAsia="宋体" w:cs="宋体"/>
          <w:sz w:val="21"/>
          <w:szCs w:val="21"/>
          <w:u w:val="single"/>
          <w:lang w:val="en-US" w:eastAsia="zh-CN"/>
        </w:rPr>
        <w:t>一楼开标室</w:t>
      </w:r>
      <w:r>
        <w:rPr>
          <w:rFonts w:hint="eastAsia" w:ascii="宋体" w:hAnsi="宋体" w:eastAsia="宋体" w:cs="宋体"/>
          <w:sz w:val="21"/>
          <w:szCs w:val="21"/>
          <w:u w:val="single"/>
          <w:lang w:eastAsia="zh-CN"/>
        </w:rPr>
        <w:t>（常州市金坛区汇贤中路989号）</w:t>
      </w:r>
      <w:r>
        <w:rPr>
          <w:rFonts w:hint="eastAsia" w:ascii="宋体" w:hAnsi="宋体" w:eastAsia="宋体" w:cs="宋体"/>
          <w:color w:val="auto"/>
          <w:sz w:val="21"/>
          <w:szCs w:val="21"/>
        </w:rPr>
        <w:t xml:space="preserve">  </w:t>
      </w: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rPr>
        <w:t>五、开启</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时间：2021年</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月</w:t>
      </w:r>
      <w:r>
        <w:rPr>
          <w:rFonts w:hint="eastAsia" w:ascii="宋体" w:hAnsi="宋体" w:eastAsia="宋体" w:cs="宋体"/>
          <w:color w:val="auto"/>
          <w:sz w:val="21"/>
          <w:szCs w:val="21"/>
          <w:highlight w:val="yellow"/>
          <w:lang w:val="en-US" w:eastAsia="zh-CN"/>
        </w:rPr>
        <w:t xml:space="preserve"> </w:t>
      </w:r>
      <w:r>
        <w:rPr>
          <w:rFonts w:hint="eastAsia" w:ascii="宋体" w:hAnsi="宋体" w:cs="宋体"/>
          <w:color w:val="auto"/>
          <w:sz w:val="21"/>
          <w:szCs w:val="21"/>
          <w:highlight w:val="yellow"/>
          <w:lang w:val="en-US" w:eastAsia="zh-CN"/>
        </w:rPr>
        <w:t>16</w:t>
      </w:r>
      <w:r>
        <w:rPr>
          <w:rFonts w:hint="eastAsia" w:ascii="宋体" w:hAnsi="宋体" w:eastAsia="宋体" w:cs="宋体"/>
          <w:color w:val="auto"/>
          <w:sz w:val="21"/>
          <w:szCs w:val="21"/>
          <w:highlight w:val="yellow"/>
          <w:lang w:val="en-US" w:eastAsia="zh-CN"/>
        </w:rPr>
        <w:t xml:space="preserve"> </w:t>
      </w:r>
      <w:r>
        <w:rPr>
          <w:rFonts w:hint="eastAsia" w:ascii="宋体" w:hAnsi="宋体" w:eastAsia="宋体" w:cs="宋体"/>
          <w:color w:val="auto"/>
          <w:sz w:val="21"/>
          <w:szCs w:val="21"/>
        </w:rPr>
        <w:t>日1</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点</w:t>
      </w:r>
      <w:r>
        <w:rPr>
          <w:rFonts w:hint="eastAsia" w:ascii="宋体" w:hAnsi="宋体" w:cs="宋体"/>
          <w:color w:val="auto"/>
          <w:sz w:val="21"/>
          <w:szCs w:val="21"/>
          <w:lang w:val="en-US" w:eastAsia="zh-CN"/>
        </w:rPr>
        <w:t>0</w:t>
      </w:r>
      <w:r>
        <w:rPr>
          <w:rFonts w:hint="eastAsia" w:ascii="宋体" w:hAnsi="宋体" w:eastAsia="宋体" w:cs="宋体"/>
          <w:color w:val="auto"/>
          <w:sz w:val="21"/>
          <w:szCs w:val="21"/>
        </w:rPr>
        <w:t>0分（北京时间）</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auto"/>
          <w:sz w:val="21"/>
          <w:szCs w:val="21"/>
        </w:rPr>
        <w:t>地点：</w:t>
      </w:r>
      <w:r>
        <w:rPr>
          <w:rFonts w:hint="eastAsia" w:ascii="宋体" w:hAnsi="宋体" w:eastAsia="宋体" w:cs="宋体"/>
          <w:sz w:val="21"/>
          <w:szCs w:val="21"/>
          <w:u w:val="single"/>
          <w:lang w:eastAsia="zh-CN"/>
        </w:rPr>
        <w:t>江苏和润工程项目管理有限公司</w:t>
      </w:r>
      <w:r>
        <w:rPr>
          <w:rFonts w:hint="eastAsia" w:ascii="宋体" w:hAnsi="宋体" w:eastAsia="宋体" w:cs="宋体"/>
          <w:sz w:val="21"/>
          <w:szCs w:val="21"/>
          <w:u w:val="single"/>
          <w:lang w:val="en-US" w:eastAsia="zh-CN"/>
        </w:rPr>
        <w:t>一楼开标室</w:t>
      </w:r>
      <w:r>
        <w:rPr>
          <w:rFonts w:hint="eastAsia" w:ascii="宋体" w:hAnsi="宋体" w:eastAsia="宋体" w:cs="宋体"/>
          <w:sz w:val="21"/>
          <w:szCs w:val="21"/>
          <w:u w:val="single"/>
          <w:lang w:eastAsia="zh-CN"/>
        </w:rPr>
        <w:t>（常州市金坛区汇贤中路989号）</w:t>
      </w:r>
      <w:r>
        <w:rPr>
          <w:rFonts w:hint="eastAsia" w:ascii="宋体" w:hAnsi="宋体" w:eastAsia="宋体" w:cs="宋体"/>
          <w:sz w:val="21"/>
          <w:szCs w:val="21"/>
        </w:rPr>
        <w:t xml:space="preserve">  </w:t>
      </w: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bookmarkStart w:id="31" w:name="_Toc28359094"/>
      <w:bookmarkStart w:id="32" w:name="_Toc28359017"/>
      <w:bookmarkStart w:id="33" w:name="_Toc35393634"/>
      <w:bookmarkStart w:id="34" w:name="_Toc35393803"/>
      <w:r>
        <w:rPr>
          <w:rFonts w:hint="eastAsia" w:ascii="宋体" w:hAnsi="宋体" w:eastAsia="宋体" w:cs="宋体"/>
          <w:b w:val="0"/>
          <w:sz w:val="21"/>
          <w:szCs w:val="21"/>
        </w:rPr>
        <w:t>六、公告期限</w:t>
      </w:r>
      <w:bookmarkEnd w:id="31"/>
      <w:bookmarkEnd w:id="32"/>
      <w:bookmarkEnd w:id="33"/>
      <w:bookmarkEnd w:id="34"/>
      <w:bookmarkStart w:id="189" w:name="_GoBack"/>
      <w:bookmarkEnd w:id="189"/>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自本公告发布之日起3个工作日。</w:t>
      </w: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bookmarkStart w:id="35" w:name="_Toc35393804"/>
      <w:bookmarkStart w:id="36" w:name="_Toc35393635"/>
      <w:r>
        <w:rPr>
          <w:rFonts w:hint="eastAsia" w:ascii="宋体" w:hAnsi="宋体" w:eastAsia="宋体" w:cs="宋体"/>
          <w:b w:val="0"/>
          <w:sz w:val="21"/>
          <w:szCs w:val="21"/>
        </w:rPr>
        <w:t>七、其他补充事宜</w:t>
      </w:r>
      <w:bookmarkEnd w:id="35"/>
      <w:bookmarkEnd w:id="36"/>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1、现场考察及标前答疑会信息： </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（1）本项目不召开标前答疑会，投标人如对招标文件有疑问，须在2021年</w:t>
      </w:r>
      <w:r>
        <w:rPr>
          <w:rFonts w:hint="eastAsia" w:ascii="宋体" w:hAnsi="宋体" w:eastAsia="宋体" w:cs="宋体"/>
          <w:sz w:val="21"/>
          <w:szCs w:val="21"/>
          <w:lang w:val="en-US" w:eastAsia="zh-CN"/>
        </w:rPr>
        <w:t>6</w:t>
      </w:r>
      <w:r>
        <w:rPr>
          <w:rFonts w:hint="eastAsia" w:ascii="宋体" w:hAnsi="宋体" w:eastAsia="宋体" w:cs="宋体"/>
          <w:sz w:val="21"/>
          <w:szCs w:val="21"/>
        </w:rPr>
        <w:t>月</w:t>
      </w:r>
      <w:r>
        <w:rPr>
          <w:rFonts w:hint="eastAsia" w:ascii="宋体" w:hAnsi="宋体" w:eastAsia="宋体" w:cs="宋体"/>
          <w:sz w:val="21"/>
          <w:szCs w:val="21"/>
          <w:highlight w:val="yellow"/>
          <w:lang w:val="en-US" w:eastAsia="zh-CN"/>
        </w:rPr>
        <w:t xml:space="preserve"> </w:t>
      </w:r>
      <w:r>
        <w:rPr>
          <w:rFonts w:hint="eastAsia" w:ascii="宋体" w:hAnsi="宋体" w:cs="宋体"/>
          <w:sz w:val="21"/>
          <w:szCs w:val="21"/>
          <w:highlight w:val="yellow"/>
          <w:lang w:val="en-US" w:eastAsia="zh-CN"/>
        </w:rPr>
        <w:t>10</w:t>
      </w:r>
      <w:r>
        <w:rPr>
          <w:rFonts w:hint="eastAsia" w:ascii="宋体" w:hAnsi="宋体" w:eastAsia="宋体" w:cs="宋体"/>
          <w:sz w:val="21"/>
          <w:szCs w:val="21"/>
          <w:highlight w:val="yellow"/>
          <w:lang w:val="en-US" w:eastAsia="zh-CN"/>
        </w:rPr>
        <w:t xml:space="preserve"> </w:t>
      </w:r>
      <w:r>
        <w:rPr>
          <w:rFonts w:hint="eastAsia" w:ascii="宋体" w:hAnsi="宋体" w:eastAsia="宋体" w:cs="宋体"/>
          <w:sz w:val="21"/>
          <w:szCs w:val="21"/>
        </w:rPr>
        <w:t>日1</w:t>
      </w:r>
      <w:r>
        <w:rPr>
          <w:rFonts w:hint="eastAsia" w:ascii="宋体" w:hAnsi="宋体" w:eastAsia="宋体" w:cs="宋体"/>
          <w:sz w:val="21"/>
          <w:szCs w:val="21"/>
          <w:lang w:val="en-US" w:eastAsia="zh-CN"/>
        </w:rPr>
        <w:t>1</w:t>
      </w:r>
      <w:r>
        <w:rPr>
          <w:rFonts w:hint="eastAsia" w:ascii="宋体" w:hAnsi="宋体" w:eastAsia="宋体" w:cs="宋体"/>
          <w:sz w:val="21"/>
          <w:szCs w:val="21"/>
        </w:rPr>
        <w:t>：00点前将</w:t>
      </w:r>
      <w:r>
        <w:rPr>
          <w:rFonts w:hint="eastAsia" w:ascii="宋体" w:hAnsi="宋体" w:eastAsia="宋体" w:cs="宋体"/>
          <w:sz w:val="21"/>
          <w:szCs w:val="21"/>
          <w:lang w:val="en-US" w:eastAsia="zh-CN"/>
        </w:rPr>
        <w:t>扫描件</w:t>
      </w:r>
      <w:r>
        <w:rPr>
          <w:rFonts w:hint="eastAsia" w:ascii="宋体" w:hAnsi="宋体" w:eastAsia="宋体" w:cs="宋体"/>
          <w:sz w:val="21"/>
          <w:szCs w:val="21"/>
        </w:rPr>
        <w:t>发送至电子邮箱</w:t>
      </w:r>
      <w:r>
        <w:rPr>
          <w:rFonts w:hint="eastAsia" w:ascii="宋体" w:hAnsi="宋体" w:eastAsia="宋体" w:cs="宋体"/>
          <w:sz w:val="21"/>
          <w:szCs w:val="21"/>
          <w:lang w:val="en-US" w:eastAsia="zh-CN"/>
        </w:rPr>
        <w:t>478104987</w:t>
      </w:r>
      <w:r>
        <w:rPr>
          <w:rFonts w:hint="eastAsia" w:ascii="宋体" w:hAnsi="宋体" w:eastAsia="宋体" w:cs="宋体"/>
          <w:sz w:val="21"/>
          <w:szCs w:val="21"/>
        </w:rPr>
        <w:t xml:space="preserve">@qq.com，同时将书面文件加盖投标单位章送至采购代理联系人处，逾期不予受理。（注：1.送质疑材料时须携带授权委托书等相关证明材料；2.质疑材料不接受邮寄） </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（2）答疑回复时间：2021年</w:t>
      </w:r>
      <w:r>
        <w:rPr>
          <w:rFonts w:hint="eastAsia" w:ascii="宋体" w:hAnsi="宋体" w:eastAsia="宋体" w:cs="宋体"/>
          <w:sz w:val="21"/>
          <w:szCs w:val="21"/>
          <w:lang w:val="en-US" w:eastAsia="zh-CN"/>
        </w:rPr>
        <w:t>6</w:t>
      </w:r>
      <w:r>
        <w:rPr>
          <w:rFonts w:hint="eastAsia" w:ascii="宋体" w:hAnsi="宋体" w:eastAsia="宋体" w:cs="宋体"/>
          <w:sz w:val="21"/>
          <w:szCs w:val="21"/>
        </w:rPr>
        <w:t>月</w:t>
      </w:r>
      <w:r>
        <w:rPr>
          <w:rFonts w:hint="eastAsia" w:ascii="宋体" w:hAnsi="宋体" w:eastAsia="宋体" w:cs="宋体"/>
          <w:sz w:val="21"/>
          <w:szCs w:val="21"/>
          <w:highlight w:val="yellow"/>
          <w:lang w:val="en-US" w:eastAsia="zh-CN"/>
        </w:rPr>
        <w:t xml:space="preserve"> </w:t>
      </w:r>
      <w:r>
        <w:rPr>
          <w:rFonts w:hint="eastAsia" w:ascii="宋体" w:hAnsi="宋体" w:cs="宋体"/>
          <w:sz w:val="21"/>
          <w:szCs w:val="21"/>
          <w:highlight w:val="yellow"/>
          <w:lang w:val="en-US" w:eastAsia="zh-CN"/>
        </w:rPr>
        <w:t>10</w:t>
      </w:r>
      <w:r>
        <w:rPr>
          <w:rFonts w:hint="eastAsia" w:ascii="宋体" w:hAnsi="宋体" w:eastAsia="宋体" w:cs="宋体"/>
          <w:sz w:val="21"/>
          <w:szCs w:val="21"/>
          <w:highlight w:val="yellow"/>
          <w:lang w:val="en-US" w:eastAsia="zh-CN"/>
        </w:rPr>
        <w:t xml:space="preserve"> </w:t>
      </w:r>
      <w:r>
        <w:rPr>
          <w:rFonts w:hint="eastAsia" w:ascii="宋体" w:hAnsi="宋体" w:eastAsia="宋体" w:cs="宋体"/>
          <w:sz w:val="21"/>
          <w:szCs w:val="21"/>
        </w:rPr>
        <w:t xml:space="preserve">日下午17：30前，由采购代理单位统一回复。投标人由于对招标文件的任何推论和误解以及采购人对有关问题的口头解释所造成的后果，均由投标人自负。采购人有权对已发出的招标文件进行必要的澄清或修改，并通知所有投标人。采购人可视具体情况，延长投标截止时间和开标时间，并将此变更通知所有招标文件收受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（3）投标人自行组织踏勘现场，由此产生的费用由投标人自理。 </w:t>
      </w:r>
      <w:r>
        <w:rPr>
          <w:rFonts w:hint="eastAsia" w:ascii="宋体" w:hAnsi="宋体" w:eastAsia="宋体" w:cs="宋体"/>
          <w:sz w:val="21"/>
          <w:szCs w:val="21"/>
          <w:lang w:val="en-US" w:eastAsia="zh-CN"/>
        </w:rPr>
        <w:t xml:space="preserve">  </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（4）质疑函应按照财政部《政府采购供应商质疑函范本》格式和要求制作，网址：http://www.mof.gov.cn/gp/xxgkml/gks/201802/t20180201_2804587.html（未按照相关格式和要求制作的质疑函将不予受理。） </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3、疫情防控措施</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疫情期间参与政府采购活动的当事人应严格按照疫情期间政务服务大厅管理要求，服从佩戴口罩、测量体温、健康信息登记等各项疫情防控规定。进场后请保持安全距离，分散等候，不得扎堆聚集，事完即走。自觉服从安保及引导人员的指挥和管理。对于参与开评标活动的投标供应商，应事先自行下载《疫情期间参与政府采购活动开评标人员健康信息登记表》（详见公告附件），并如实填写登记表相关内容并加盖单位公章。在进入</w:t>
      </w:r>
      <w:r>
        <w:rPr>
          <w:rFonts w:hint="eastAsia" w:ascii="宋体" w:hAnsi="宋体" w:eastAsia="宋体" w:cs="宋体"/>
          <w:sz w:val="21"/>
          <w:szCs w:val="21"/>
          <w:lang w:val="en-US" w:eastAsia="zh-CN"/>
        </w:rPr>
        <w:t>开标室</w:t>
      </w:r>
      <w:r>
        <w:rPr>
          <w:rFonts w:hint="eastAsia" w:ascii="宋体" w:hAnsi="宋体" w:eastAsia="宋体" w:cs="宋体"/>
          <w:sz w:val="21"/>
          <w:szCs w:val="21"/>
        </w:rPr>
        <w:t>时，请凭《疫情期间参与政府采购活动开评标人员健康信息登记表》和本人身份证原件方能到指定开评标场所。</w:t>
      </w:r>
    </w:p>
    <w:p>
      <w:pPr>
        <w:keepLines w:val="0"/>
        <w:pageBreakBefore w:val="0"/>
        <w:widowControl w:val="0"/>
        <w:kinsoku/>
        <w:wordWrap w:val="0"/>
        <w:overflowPunct/>
        <w:topLinePunct/>
        <w:autoSpaceDE/>
        <w:autoSpaceDN/>
        <w:bidi w:val="0"/>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（2）除投标供应商法定代表人或其授权代表，其他人员原则上不得进入开评标场所。请保持安全距离，分散等候，不得扎堆聚集，事完即走。</w:t>
      </w:r>
    </w:p>
    <w:p>
      <w:pPr>
        <w:pageBreakBefore w:val="0"/>
        <w:widowControl/>
        <w:numPr>
          <w:ilvl w:val="0"/>
          <w:numId w:val="0"/>
        </w:numPr>
        <w:kinsoku/>
        <w:wordWrap w:val="0"/>
        <w:overflowPunct/>
        <w:topLinePunct/>
        <w:autoSpaceDE/>
        <w:autoSpaceDN/>
        <w:bidi w:val="0"/>
        <w:snapToGrid w:val="0"/>
        <w:spacing w:line="400" w:lineRule="exact"/>
        <w:textAlignment w:val="auto"/>
        <w:rPr>
          <w:rFonts w:hint="eastAsia" w:ascii="宋体" w:hAnsi="宋体" w:cs="宋体"/>
          <w:b/>
          <w:bCs/>
          <w:kern w:val="20"/>
          <w:lang w:val="zh-CN"/>
        </w:rPr>
      </w:pPr>
      <w:bookmarkStart w:id="37" w:name="_Toc28359095"/>
      <w:bookmarkStart w:id="38" w:name="_Toc35393805"/>
      <w:bookmarkStart w:id="39" w:name="_Toc28359018"/>
      <w:bookmarkStart w:id="40" w:name="_Toc35393636"/>
      <w:r>
        <w:rPr>
          <w:rFonts w:hint="eastAsia" w:ascii="宋体" w:hAnsi="宋体" w:cs="宋体"/>
          <w:b/>
          <w:bCs/>
          <w:kern w:val="20"/>
          <w:lang w:val="en-US" w:eastAsia="zh-CN"/>
        </w:rPr>
        <w:t>八、</w:t>
      </w:r>
      <w:r>
        <w:rPr>
          <w:rFonts w:hint="eastAsia" w:ascii="宋体" w:hAnsi="宋体" w:cs="宋体"/>
          <w:b/>
          <w:bCs/>
          <w:kern w:val="20"/>
          <w:lang w:val="zh-CN"/>
        </w:rPr>
        <w:t>投标注意事项</w:t>
      </w:r>
    </w:p>
    <w:p>
      <w:pPr>
        <w:pageBreakBefore w:val="0"/>
        <w:kinsoku/>
        <w:wordWrap w:val="0"/>
        <w:overflowPunct/>
        <w:topLinePunct/>
        <w:autoSpaceDE/>
        <w:autoSpaceDN/>
        <w:bidi w:val="0"/>
        <w:spacing w:line="400" w:lineRule="exact"/>
        <w:ind w:firstLine="422" w:firstLineChars="200"/>
        <w:textAlignment w:val="auto"/>
        <w:rPr>
          <w:rFonts w:hint="eastAsia" w:ascii="宋体" w:hAnsi="宋体" w:cs="宋体"/>
          <w:b/>
          <w:bCs/>
          <w:szCs w:val="28"/>
        </w:rPr>
      </w:pPr>
      <w:r>
        <w:rPr>
          <w:rFonts w:hint="eastAsia" w:ascii="宋体" w:hAnsi="宋体" w:cs="宋体"/>
          <w:b/>
          <w:bCs/>
          <w:kern w:val="20"/>
        </w:rPr>
        <w:t>1.</w:t>
      </w:r>
      <w:r>
        <w:rPr>
          <w:rFonts w:hint="eastAsia" w:ascii="宋体" w:hAnsi="宋体" w:cs="宋体"/>
          <w:b/>
          <w:bCs/>
          <w:szCs w:val="28"/>
        </w:rPr>
        <w:t xml:space="preserve">为了维护政府采购市场秩序，规范供应商的政府采购行为，促进供应商诚信经营和公平竞争，参加政府采购活动获取招标文件的响应人，应当履行以下诚信义务: </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 xml:space="preserve">1）自觉遵守政府采购法律法规，维护政府采购市场秩序和公平竞争环境，接受财政部门的监督检查; </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2）诚信参与政府采购活动，依法履行政府采购合同和政府采购活动中的各项承诺，为采购人提供符合采购文件规定的货物、工程和服务;</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 xml:space="preserve">3）保守在政府采购活动中获悉的国家秘密和他人商业秘密; </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 xml:space="preserve">4）法律法规规定的其他诚信义务。 </w:t>
      </w:r>
    </w:p>
    <w:p>
      <w:pPr>
        <w:pageBreakBefore w:val="0"/>
        <w:kinsoku/>
        <w:wordWrap w:val="0"/>
        <w:overflowPunct/>
        <w:topLinePunct/>
        <w:autoSpaceDE/>
        <w:autoSpaceDN/>
        <w:bidi w:val="0"/>
        <w:spacing w:line="400" w:lineRule="exact"/>
        <w:ind w:firstLine="422" w:firstLineChars="200"/>
        <w:textAlignment w:val="auto"/>
        <w:rPr>
          <w:rFonts w:hint="eastAsia" w:ascii="宋体" w:hAnsi="宋体" w:cs="宋体"/>
          <w:b/>
          <w:bCs/>
          <w:szCs w:val="28"/>
        </w:rPr>
      </w:pPr>
      <w:r>
        <w:rPr>
          <w:rFonts w:hint="eastAsia" w:ascii="宋体" w:hAnsi="宋体" w:cs="宋体"/>
          <w:b/>
          <w:bCs/>
          <w:szCs w:val="28"/>
        </w:rPr>
        <w:t>2.供应商在参与政府采购活动中失信行为具体详见《常州市政府采购供应商信用管理暂行办法》。</w:t>
      </w:r>
    </w:p>
    <w:p>
      <w:pPr>
        <w:pageBreakBefore w:val="0"/>
        <w:kinsoku/>
        <w:wordWrap w:val="0"/>
        <w:overflowPunct/>
        <w:topLinePunct/>
        <w:autoSpaceDE/>
        <w:autoSpaceDN/>
        <w:bidi w:val="0"/>
        <w:spacing w:line="400" w:lineRule="exact"/>
        <w:ind w:firstLine="422" w:firstLineChars="200"/>
        <w:textAlignment w:val="auto"/>
        <w:rPr>
          <w:rFonts w:hint="eastAsia" w:ascii="宋体" w:hAnsi="宋体" w:cs="宋体"/>
          <w:b/>
          <w:bCs/>
          <w:szCs w:val="28"/>
        </w:rPr>
      </w:pPr>
      <w:r>
        <w:rPr>
          <w:rFonts w:hint="eastAsia" w:ascii="宋体" w:hAnsi="宋体" w:cs="宋体"/>
          <w:b/>
          <w:bCs/>
          <w:szCs w:val="28"/>
        </w:rPr>
        <w:t>3.供应商在参与政府采购活动中失信行为惩戒相关规定具体详见招标文件。</w:t>
      </w: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p>
    <w:p>
      <w:pPr>
        <w:pStyle w:val="4"/>
        <w:keepLines w:val="0"/>
        <w:pageBreakBefore w:val="0"/>
        <w:widowControl w:val="0"/>
        <w:kinsoku/>
        <w:wordWrap w:val="0"/>
        <w:overflowPunct/>
        <w:topLinePunct/>
        <w:autoSpaceDE/>
        <w:autoSpaceDN/>
        <w:bidi w:val="0"/>
        <w:snapToGrid/>
        <w:spacing w:line="360" w:lineRule="auto"/>
        <w:jc w:val="left"/>
        <w:textAlignment w:val="auto"/>
        <w:rPr>
          <w:rFonts w:hint="eastAsia" w:ascii="宋体" w:hAnsi="宋体" w:eastAsia="宋体" w:cs="宋体"/>
          <w:b w:val="0"/>
          <w:sz w:val="21"/>
          <w:szCs w:val="21"/>
        </w:rPr>
      </w:pPr>
      <w:r>
        <w:rPr>
          <w:rFonts w:hint="eastAsia" w:ascii="宋体" w:hAnsi="宋体" w:eastAsia="宋体" w:cs="宋体"/>
          <w:b w:val="0"/>
          <w:sz w:val="21"/>
          <w:szCs w:val="21"/>
          <w:lang w:val="en-US" w:eastAsia="zh-CN"/>
        </w:rPr>
        <w:t>九、</w:t>
      </w:r>
      <w:r>
        <w:rPr>
          <w:rFonts w:hint="eastAsia" w:ascii="宋体" w:hAnsi="宋体" w:eastAsia="宋体" w:cs="宋体"/>
          <w:b w:val="0"/>
          <w:sz w:val="21"/>
          <w:szCs w:val="21"/>
        </w:rPr>
        <w:t>凡对本次采购提出询问，请按以下方式联系。</w:t>
      </w:r>
      <w:bookmarkEnd w:id="37"/>
      <w:bookmarkEnd w:id="38"/>
      <w:bookmarkEnd w:id="39"/>
      <w:bookmarkEnd w:id="40"/>
    </w:p>
    <w:p>
      <w:pPr>
        <w:pStyle w:val="4"/>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b w:val="0"/>
          <w:sz w:val="21"/>
          <w:szCs w:val="21"/>
        </w:rPr>
      </w:pPr>
      <w:bookmarkStart w:id="41" w:name="_Toc35393806"/>
      <w:bookmarkStart w:id="42" w:name="_Toc28359096"/>
      <w:bookmarkStart w:id="43" w:name="_Toc35393637"/>
      <w:bookmarkStart w:id="44" w:name="_Toc28359019"/>
      <w:r>
        <w:rPr>
          <w:rFonts w:hint="eastAsia" w:ascii="宋体" w:hAnsi="宋体" w:eastAsia="宋体" w:cs="宋体"/>
          <w:b w:val="0"/>
          <w:sz w:val="21"/>
          <w:szCs w:val="21"/>
        </w:rPr>
        <w:t>1.采购人信息</w:t>
      </w:r>
      <w:bookmarkEnd w:id="41"/>
      <w:bookmarkEnd w:id="42"/>
      <w:bookmarkEnd w:id="43"/>
      <w:bookmarkEnd w:id="44"/>
    </w:p>
    <w:p>
      <w:pPr>
        <w:keepLines w:val="0"/>
        <w:pageBreakBefore w:val="0"/>
        <w:widowControl w:val="0"/>
        <w:kinsoku/>
        <w:wordWrap w:val="0"/>
        <w:overflowPunct/>
        <w:topLinePunct/>
        <w:autoSpaceDE/>
        <w:autoSpaceDN/>
        <w:bidi w:val="0"/>
        <w:snapToGrid/>
        <w:spacing w:line="360" w:lineRule="auto"/>
        <w:ind w:left="1041" w:leftChars="371" w:hanging="262" w:hangingChars="125"/>
        <w:jc w:val="left"/>
        <w:textAlignment w:val="auto"/>
        <w:rPr>
          <w:rFonts w:hint="eastAsia" w:ascii="宋体" w:hAnsi="宋体" w:eastAsia="宋体" w:cs="宋体"/>
          <w:sz w:val="21"/>
          <w:szCs w:val="21"/>
        </w:rPr>
      </w:pPr>
      <w:r>
        <w:rPr>
          <w:rFonts w:hint="eastAsia" w:ascii="宋体" w:hAnsi="宋体" w:eastAsia="宋体" w:cs="宋体"/>
          <w:sz w:val="21"/>
          <w:szCs w:val="21"/>
        </w:rPr>
        <w:t>名    称：</w:t>
      </w:r>
      <w:r>
        <w:rPr>
          <w:rFonts w:hint="eastAsia" w:ascii="宋体" w:hAnsi="宋体" w:eastAsia="宋体" w:cs="宋体"/>
          <w:bCs/>
          <w:sz w:val="21"/>
          <w:szCs w:val="21"/>
          <w:u w:val="single"/>
        </w:rPr>
        <w:t>常州市金坛区直溪镇人民政府</w:t>
      </w:r>
    </w:p>
    <w:p>
      <w:pPr>
        <w:keepLines w:val="0"/>
        <w:pageBreakBefore w:val="0"/>
        <w:widowControl w:val="0"/>
        <w:kinsoku/>
        <w:wordWrap w:val="0"/>
        <w:overflowPunct/>
        <w:topLinePunct/>
        <w:autoSpaceDE/>
        <w:autoSpaceDN/>
        <w:bidi w:val="0"/>
        <w:snapToGrid/>
        <w:spacing w:line="360" w:lineRule="auto"/>
        <w:ind w:left="1041" w:leftChars="371" w:hanging="262" w:hangingChars="125"/>
        <w:jc w:val="left"/>
        <w:textAlignment w:val="auto"/>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常州市金坛区直溪镇振兴南路8号</w:t>
      </w:r>
    </w:p>
    <w:p>
      <w:pPr>
        <w:keepLines w:val="0"/>
        <w:pageBreakBefore w:val="0"/>
        <w:widowControl w:val="0"/>
        <w:kinsoku/>
        <w:wordWrap w:val="0"/>
        <w:overflowPunct/>
        <w:topLinePunct/>
        <w:autoSpaceDE/>
        <w:autoSpaceDN/>
        <w:bidi w:val="0"/>
        <w:snapToGrid/>
        <w:spacing w:line="360" w:lineRule="auto"/>
        <w:ind w:left="1041" w:leftChars="371" w:hanging="262" w:hangingChars="125"/>
        <w:jc w:val="left"/>
        <w:textAlignment w:val="auto"/>
        <w:rPr>
          <w:rFonts w:hint="eastAsia" w:ascii="宋体" w:hAnsi="宋体" w:eastAsia="宋体" w:cs="宋体"/>
          <w:sz w:val="21"/>
          <w:szCs w:val="21"/>
        </w:rPr>
      </w:pPr>
      <w:r>
        <w:rPr>
          <w:rFonts w:hint="eastAsia" w:ascii="宋体" w:hAnsi="宋体" w:eastAsia="宋体" w:cs="宋体"/>
          <w:sz w:val="21"/>
          <w:szCs w:val="21"/>
        </w:rPr>
        <w:t>联系方式：</w:t>
      </w:r>
      <w:r>
        <w:rPr>
          <w:rFonts w:hint="eastAsia" w:ascii="宋体" w:hAnsi="宋体" w:eastAsia="宋体" w:cs="宋体"/>
          <w:sz w:val="21"/>
          <w:szCs w:val="21"/>
          <w:u w:val="single"/>
        </w:rPr>
        <w:t xml:space="preserve">18101499066 </w:t>
      </w:r>
    </w:p>
    <w:p>
      <w:pPr>
        <w:pStyle w:val="4"/>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b w:val="0"/>
          <w:sz w:val="21"/>
          <w:szCs w:val="21"/>
        </w:rPr>
      </w:pPr>
      <w:bookmarkStart w:id="45" w:name="_Toc35393638"/>
      <w:bookmarkStart w:id="46" w:name="_Toc35393807"/>
      <w:bookmarkStart w:id="47" w:name="_Toc28359097"/>
      <w:bookmarkStart w:id="48" w:name="_Toc28359020"/>
      <w:r>
        <w:rPr>
          <w:rFonts w:hint="eastAsia" w:ascii="宋体" w:hAnsi="宋体" w:eastAsia="宋体" w:cs="宋体"/>
          <w:b w:val="0"/>
          <w:sz w:val="21"/>
          <w:szCs w:val="21"/>
        </w:rPr>
        <w:t>2.采购代理机构信息</w:t>
      </w:r>
      <w:bookmarkEnd w:id="45"/>
      <w:bookmarkEnd w:id="46"/>
      <w:bookmarkEnd w:id="47"/>
      <w:bookmarkEnd w:id="48"/>
    </w:p>
    <w:p>
      <w:pPr>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名    称：</w:t>
      </w:r>
      <w:r>
        <w:rPr>
          <w:rFonts w:hint="eastAsia" w:ascii="宋体" w:hAnsi="宋体" w:eastAsia="宋体" w:cs="宋体"/>
          <w:sz w:val="21"/>
          <w:szCs w:val="21"/>
          <w:u w:val="single"/>
        </w:rPr>
        <w:t>江苏</w:t>
      </w:r>
      <w:r>
        <w:rPr>
          <w:rFonts w:hint="eastAsia" w:ascii="宋体" w:hAnsi="宋体" w:eastAsia="宋体" w:cs="宋体"/>
          <w:sz w:val="21"/>
          <w:szCs w:val="21"/>
          <w:u w:val="single"/>
          <w:lang w:val="en-US" w:eastAsia="zh-CN"/>
        </w:rPr>
        <w:t>和润工程项目管理有限公司</w:t>
      </w:r>
    </w:p>
    <w:p>
      <w:pPr>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地　　址：</w:t>
      </w:r>
      <w:r>
        <w:rPr>
          <w:rFonts w:hint="eastAsia" w:ascii="宋体" w:hAnsi="宋体" w:eastAsia="宋体" w:cs="宋体"/>
          <w:sz w:val="21"/>
          <w:szCs w:val="21"/>
          <w:u w:val="single"/>
        </w:rPr>
        <w:t>金坛区</w:t>
      </w:r>
      <w:r>
        <w:rPr>
          <w:rFonts w:hint="eastAsia" w:ascii="宋体" w:hAnsi="宋体" w:eastAsia="宋体" w:cs="宋体"/>
          <w:sz w:val="21"/>
          <w:szCs w:val="21"/>
          <w:u w:val="single"/>
          <w:lang w:val="en-US" w:eastAsia="zh-CN"/>
        </w:rPr>
        <w:t>汇贤中路989号</w:t>
      </w:r>
    </w:p>
    <w:p>
      <w:pPr>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联系方式：</w:t>
      </w:r>
      <w:r>
        <w:rPr>
          <w:rFonts w:hint="eastAsia" w:ascii="宋体" w:hAnsi="宋体" w:eastAsia="宋体" w:cs="宋体"/>
          <w:sz w:val="21"/>
          <w:szCs w:val="21"/>
          <w:u w:val="single"/>
          <w:lang w:val="en-US" w:eastAsia="zh-CN"/>
        </w:rPr>
        <w:t>15051905224</w:t>
      </w:r>
    </w:p>
    <w:p>
      <w:pPr>
        <w:pStyle w:val="4"/>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b w:val="0"/>
          <w:sz w:val="21"/>
          <w:szCs w:val="21"/>
        </w:rPr>
      </w:pPr>
      <w:bookmarkStart w:id="49" w:name="_Toc28359021"/>
      <w:bookmarkStart w:id="50" w:name="_Toc35393639"/>
      <w:bookmarkStart w:id="51" w:name="_Toc35393808"/>
      <w:bookmarkStart w:id="52" w:name="_Toc28359098"/>
      <w:r>
        <w:rPr>
          <w:rFonts w:hint="eastAsia" w:ascii="宋体" w:hAnsi="宋体" w:eastAsia="宋体" w:cs="宋体"/>
          <w:b w:val="0"/>
          <w:sz w:val="21"/>
          <w:szCs w:val="21"/>
        </w:rPr>
        <w:t>3.项目联系方式</w:t>
      </w:r>
      <w:bookmarkEnd w:id="49"/>
      <w:bookmarkEnd w:id="50"/>
      <w:bookmarkEnd w:id="51"/>
      <w:bookmarkEnd w:id="52"/>
    </w:p>
    <w:p>
      <w:pPr>
        <w:pStyle w:val="13"/>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sz w:val="21"/>
          <w:szCs w:val="21"/>
        </w:rPr>
      </w:pPr>
      <w:r>
        <w:rPr>
          <w:rFonts w:hint="eastAsia" w:ascii="宋体" w:hAnsi="宋体" w:eastAsia="宋体" w:cs="宋体"/>
          <w:sz w:val="21"/>
          <w:szCs w:val="21"/>
        </w:rPr>
        <w:t>项目联系人：</w:t>
      </w:r>
      <w:r>
        <w:rPr>
          <w:rFonts w:hint="eastAsia" w:ascii="宋体" w:hAnsi="宋体" w:eastAsia="宋体" w:cs="宋体"/>
          <w:kern w:val="2"/>
          <w:sz w:val="21"/>
          <w:szCs w:val="21"/>
          <w:u w:val="single"/>
          <w:lang w:val="en-US" w:eastAsia="zh-CN"/>
        </w:rPr>
        <w:t>胡</w:t>
      </w:r>
      <w:r>
        <w:rPr>
          <w:rFonts w:hint="eastAsia" w:ascii="宋体" w:hAnsi="宋体" w:eastAsia="宋体" w:cs="宋体"/>
          <w:kern w:val="2"/>
          <w:sz w:val="21"/>
          <w:szCs w:val="21"/>
          <w:u w:val="single"/>
        </w:rPr>
        <w:t>女士</w:t>
      </w:r>
    </w:p>
    <w:p>
      <w:pPr>
        <w:keepLines w:val="0"/>
        <w:pageBreakBefore w:val="0"/>
        <w:widowControl w:val="0"/>
        <w:kinsoku/>
        <w:wordWrap w:val="0"/>
        <w:overflowPunct/>
        <w:topLinePunct/>
        <w:autoSpaceDE/>
        <w:autoSpaceDN/>
        <w:bidi w:val="0"/>
        <w:snapToGrid/>
        <w:spacing w:line="360" w:lineRule="auto"/>
        <w:ind w:firstLine="630" w:firstLineChars="300"/>
        <w:jc w:val="left"/>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电　　 话：</w:t>
      </w:r>
      <w:r>
        <w:rPr>
          <w:rFonts w:hint="eastAsia" w:ascii="宋体" w:hAnsi="宋体" w:eastAsia="宋体" w:cs="宋体"/>
          <w:sz w:val="21"/>
          <w:szCs w:val="21"/>
          <w:u w:val="single"/>
          <w:lang w:val="en-US" w:eastAsia="zh-CN"/>
        </w:rPr>
        <w:t>15051905224</w:t>
      </w:r>
    </w:p>
    <w:p>
      <w:pPr>
        <w:pageBreakBefore w:val="0"/>
        <w:kinsoku/>
        <w:wordWrap w:val="0"/>
        <w:overflowPunct/>
        <w:topLinePunct/>
        <w:autoSpaceDE/>
        <w:autoSpaceDN/>
        <w:bidi w:val="0"/>
        <w:spacing w:line="400" w:lineRule="exact"/>
        <w:ind w:firstLine="525" w:firstLineChars="250"/>
        <w:textAlignment w:val="auto"/>
        <w:rPr>
          <w:rFonts w:hint="default" w:ascii="宋体" w:hAnsi="宋体" w:eastAsia="宋体" w:cs="宋体"/>
          <w:kern w:val="20"/>
          <w:u w:val="single"/>
          <w:lang w:val="en-US" w:eastAsia="zh-CN"/>
        </w:rPr>
      </w:pPr>
    </w:p>
    <w:p>
      <w:pPr>
        <w:pageBreakBefore w:val="0"/>
        <w:widowControl/>
        <w:kinsoku/>
        <w:wordWrap w:val="0"/>
        <w:overflowPunct/>
        <w:topLinePunct/>
        <w:autoSpaceDE/>
        <w:autoSpaceDN/>
        <w:bidi w:val="0"/>
        <w:snapToGrid w:val="0"/>
        <w:spacing w:line="400" w:lineRule="exact"/>
        <w:ind w:firstLine="420" w:firstLineChars="200"/>
        <w:textAlignment w:val="auto"/>
        <w:rPr>
          <w:rFonts w:ascii="宋体" w:hAnsi="宋体" w:cs="宋体"/>
          <w:kern w:val="20"/>
        </w:rPr>
      </w:pPr>
    </w:p>
    <w:p>
      <w:pPr>
        <w:pageBreakBefore w:val="0"/>
        <w:kinsoku/>
        <w:wordWrap w:val="0"/>
        <w:overflowPunct/>
        <w:topLinePunct/>
        <w:autoSpaceDE/>
        <w:autoSpaceDN/>
        <w:bidi w:val="0"/>
        <w:textAlignment w:val="auto"/>
      </w:pPr>
    </w:p>
    <w:p>
      <w:pPr>
        <w:pageBreakBefore w:val="0"/>
        <w:kinsoku/>
        <w:wordWrap w:val="0"/>
        <w:overflowPunct/>
        <w:topLinePunct/>
        <w:autoSpaceDE/>
        <w:autoSpaceDN/>
        <w:bidi w:val="0"/>
        <w:jc w:val="left"/>
        <w:textAlignment w:val="auto"/>
      </w:pPr>
      <w:r>
        <w:rPr>
          <w:rFonts w:hint="eastAsia"/>
        </w:rPr>
        <w:t xml:space="preserve">    </w:t>
      </w:r>
    </w:p>
    <w:bookmarkEnd w:id="8"/>
    <w:bookmarkEnd w:id="9"/>
    <w:bookmarkEnd w:id="10"/>
    <w:bookmarkEnd w:id="11"/>
    <w:bookmarkEnd w:id="14"/>
    <w:p>
      <w:pPr>
        <w:pStyle w:val="3"/>
        <w:pageBreakBefore w:val="0"/>
        <w:kinsoku/>
        <w:wordWrap w:val="0"/>
        <w:overflowPunct/>
        <w:topLinePunct/>
        <w:autoSpaceDE/>
        <w:autoSpaceDN/>
        <w:bidi w:val="0"/>
        <w:spacing w:line="400" w:lineRule="exact"/>
        <w:textAlignment w:val="auto"/>
        <w:rPr>
          <w:rFonts w:hint="eastAsia" w:cs="宋体"/>
        </w:rPr>
      </w:pPr>
      <w:r>
        <w:rPr>
          <w:rFonts w:hint="eastAsia" w:cs="宋体"/>
        </w:rPr>
        <w:br w:type="page"/>
      </w:r>
      <w:bookmarkStart w:id="53" w:name="_Toc23432"/>
      <w:r>
        <w:rPr>
          <w:rFonts w:hint="eastAsia" w:cs="宋体"/>
          <w:sz w:val="28"/>
          <w:szCs w:val="28"/>
        </w:rPr>
        <w:t>第二部分  响应人须知前附表</w:t>
      </w:r>
      <w:bookmarkEnd w:id="53"/>
    </w:p>
    <w:tbl>
      <w:tblPr>
        <w:tblStyle w:val="23"/>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2883"/>
        <w:gridCol w:w="6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条款名称</w:t>
            </w:r>
          </w:p>
        </w:tc>
        <w:tc>
          <w:tcPr>
            <w:tcW w:w="6362" w:type="dxa"/>
            <w:noWrap w:val="0"/>
            <w:vAlign w:val="center"/>
          </w:tcPr>
          <w:p>
            <w:pPr>
              <w:pageBreakBefore w:val="0"/>
              <w:kinsoku/>
              <w:wordWrap w:val="0"/>
              <w:overflowPunct/>
              <w:topLinePunct/>
              <w:autoSpaceDE/>
              <w:autoSpaceDN/>
              <w:bidi w:val="0"/>
              <w:ind w:firstLine="2951" w:firstLineChars="1400"/>
              <w:textAlignment w:val="auto"/>
              <w:rPr>
                <w:rFonts w:hint="eastAsia" w:ascii="宋体" w:hAnsi="宋体" w:eastAsia="宋体" w:cs="宋体"/>
                <w:sz w:val="21"/>
                <w:szCs w:val="21"/>
              </w:rPr>
            </w:pPr>
            <w:r>
              <w:rPr>
                <w:rFonts w:hint="eastAsia" w:ascii="宋体" w:hAnsi="宋体" w:eastAsia="宋体" w:cs="宋体"/>
                <w:b/>
                <w:bCs/>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采购人名称</w:t>
            </w:r>
          </w:p>
        </w:tc>
        <w:tc>
          <w:tcPr>
            <w:tcW w:w="6362" w:type="dxa"/>
            <w:noWrap w:val="0"/>
            <w:vAlign w:val="center"/>
          </w:tcPr>
          <w:p>
            <w:pPr>
              <w:pageBreakBefore w:val="0"/>
              <w:kinsoku/>
              <w:wordWrap w:val="0"/>
              <w:overflowPunct/>
              <w:topLinePunct/>
              <w:autoSpaceDE/>
              <w:autoSpaceDN/>
              <w:bidi w:val="0"/>
              <w:textAlignment w:val="auto"/>
              <w:rPr>
                <w:rFonts w:hint="eastAsia" w:ascii="宋体" w:hAnsi="宋体" w:eastAsia="宋体" w:cs="宋体"/>
                <w:sz w:val="21"/>
                <w:szCs w:val="21"/>
              </w:rPr>
            </w:pPr>
            <w:r>
              <w:rPr>
                <w:rFonts w:hint="eastAsia" w:ascii="宋体" w:hAnsi="宋体" w:eastAsia="宋体" w:cs="宋体"/>
                <w:kern w:val="20"/>
                <w:sz w:val="21"/>
                <w:szCs w:val="21"/>
                <w:lang w:val="zh-CN"/>
              </w:rPr>
              <w:t>常州市金坛区直溪镇人民政府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kern w:val="0"/>
                <w:sz w:val="21"/>
                <w:szCs w:val="21"/>
              </w:rPr>
              <w:t>项目预算</w:t>
            </w:r>
          </w:p>
        </w:tc>
        <w:tc>
          <w:tcPr>
            <w:tcW w:w="6362" w:type="dxa"/>
            <w:noWrap w:val="0"/>
            <w:vAlign w:val="center"/>
          </w:tcPr>
          <w:p>
            <w:pPr>
              <w:pageBreakBefore w:val="0"/>
              <w:kinsoku/>
              <w:wordWrap w:val="0"/>
              <w:overflowPunct/>
              <w:topLinePunct/>
              <w:autoSpaceDE/>
              <w:autoSpaceDN/>
              <w:bidi w:val="0"/>
              <w:textAlignment w:val="auto"/>
              <w:rPr>
                <w:rFonts w:hint="eastAsia" w:ascii="宋体" w:hAnsi="宋体" w:eastAsia="宋体" w:cs="宋体"/>
                <w:sz w:val="21"/>
                <w:szCs w:val="21"/>
              </w:rPr>
            </w:pPr>
            <w:r>
              <w:rPr>
                <w:rFonts w:hint="eastAsia" w:ascii="宋体" w:hAnsi="宋体" w:eastAsia="宋体" w:cs="宋体"/>
                <w:sz w:val="21"/>
                <w:szCs w:val="21"/>
              </w:rPr>
              <w:t>*本项目预算为</w:t>
            </w:r>
            <w:r>
              <w:rPr>
                <w:rFonts w:hint="eastAsia" w:ascii="宋体" w:hAnsi="宋体" w:eastAsia="宋体" w:cs="宋体"/>
                <w:sz w:val="21"/>
                <w:szCs w:val="21"/>
                <w:highlight w:val="yellow"/>
                <w:u w:val="single"/>
                <w:lang w:val="en-US" w:eastAsia="zh-CN"/>
              </w:rPr>
              <w:t>96.8</w:t>
            </w:r>
            <w:r>
              <w:rPr>
                <w:rFonts w:hint="eastAsia" w:ascii="宋体" w:hAnsi="宋体" w:eastAsia="宋体" w:cs="宋体"/>
                <w:sz w:val="21"/>
                <w:szCs w:val="21"/>
                <w:highlight w:val="yellow"/>
                <w:u w:val="singl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bCs/>
                <w:sz w:val="21"/>
                <w:szCs w:val="21"/>
              </w:rPr>
              <w:t>是否有最高限价</w:t>
            </w:r>
          </w:p>
        </w:tc>
        <w:tc>
          <w:tcPr>
            <w:tcW w:w="6362" w:type="dxa"/>
            <w:noWrap w:val="0"/>
            <w:vAlign w:val="center"/>
          </w:tcPr>
          <w:p>
            <w:pPr>
              <w:pStyle w:val="14"/>
              <w:pageBreakBefore w:val="0"/>
              <w:kinsoku/>
              <w:wordWrap w:val="0"/>
              <w:overflowPunct/>
              <w:topLinePunct/>
              <w:autoSpaceDE/>
              <w:autoSpaceDN/>
              <w:bidi w:val="0"/>
              <w:adjustRightInd w:val="0"/>
              <w:snapToGrid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bCs/>
                <w:sz w:val="21"/>
                <w:szCs w:val="21"/>
              </w:rPr>
              <w:t>有。本项目最高限价为</w:t>
            </w:r>
            <w:r>
              <w:rPr>
                <w:rFonts w:hint="eastAsia" w:ascii="宋体" w:hAnsi="宋体" w:eastAsia="宋体" w:cs="宋体"/>
                <w:bCs/>
                <w:sz w:val="21"/>
                <w:szCs w:val="21"/>
                <w:highlight w:val="yellow"/>
                <w:lang w:val="en-US" w:eastAsia="zh-CN"/>
              </w:rPr>
              <w:t xml:space="preserve"> 966501.17</w:t>
            </w:r>
            <w:r>
              <w:rPr>
                <w:rFonts w:hint="eastAsia" w:ascii="宋体" w:hAnsi="宋体" w:eastAsia="宋体" w:cs="宋体"/>
                <w:bCs/>
                <w:sz w:val="21"/>
                <w:szCs w:val="21"/>
                <w:highlight w:val="yellow"/>
              </w:rPr>
              <w:t>元；</w:t>
            </w:r>
            <w:r>
              <w:rPr>
                <w:rFonts w:hint="eastAsia" w:ascii="宋体" w:hAnsi="宋体" w:eastAsia="宋体" w:cs="宋体"/>
                <w:bCs/>
                <w:sz w:val="21"/>
                <w:szCs w:val="21"/>
                <w:highlight w:val="none"/>
              </w:rPr>
              <w:t>投标报价超过采购最高限价的作无效报价文件处理</w:t>
            </w:r>
            <w:r>
              <w:rPr>
                <w:rFonts w:hint="eastAsia" w:ascii="宋体" w:hAnsi="宋体" w:eastAsia="宋体" w:cs="宋体"/>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67" w:type="dxa"/>
            <w:vMerge w:val="restart"/>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2883" w:type="dxa"/>
            <w:vMerge w:val="restart"/>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响应人资质条件和应具备的特殊要求</w:t>
            </w:r>
          </w:p>
        </w:tc>
        <w:tc>
          <w:tcPr>
            <w:tcW w:w="6362" w:type="dxa"/>
            <w:noWrap w:val="0"/>
            <w:vAlign w:val="center"/>
          </w:tcPr>
          <w:p>
            <w:pPr>
              <w:pageBreakBefore w:val="0"/>
              <w:kinsoku/>
              <w:wordWrap w:val="0"/>
              <w:overflowPunct/>
              <w:topLinePunct/>
              <w:autoSpaceDE/>
              <w:autoSpaceDN/>
              <w:bidi w:val="0"/>
              <w:spacing w:line="40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*4.1响应人基本资格条件（承诺）</w:t>
            </w:r>
          </w:p>
          <w:p>
            <w:pPr>
              <w:pageBreakBefore w:val="0"/>
              <w:kinsoku/>
              <w:wordWrap w:val="0"/>
              <w:overflowPunct/>
              <w:topLinePunct/>
              <w:autoSpaceDE/>
              <w:autoSpaceDN/>
              <w:bidi w:val="0"/>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（1）具有有效的营业执照或事业单位法人证书；</w:t>
            </w:r>
          </w:p>
          <w:p>
            <w:pPr>
              <w:pageBreakBefore w:val="0"/>
              <w:kinsoku/>
              <w:wordWrap w:val="0"/>
              <w:overflowPunct/>
              <w:topLinePunct/>
              <w:autoSpaceDE/>
              <w:autoSpaceDN/>
              <w:bidi w:val="0"/>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（2）具有本项目实施能力和良好的商业信誉；</w:t>
            </w:r>
          </w:p>
          <w:p>
            <w:pPr>
              <w:pageBreakBefore w:val="0"/>
              <w:kinsoku/>
              <w:wordWrap w:val="0"/>
              <w:overflowPunct/>
              <w:topLinePunct/>
              <w:autoSpaceDE/>
              <w:autoSpaceDN/>
              <w:bidi w:val="0"/>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（3）具有健全的财务会计制度；</w:t>
            </w:r>
          </w:p>
          <w:p>
            <w:pPr>
              <w:pageBreakBefore w:val="0"/>
              <w:kinsoku/>
              <w:wordWrap w:val="0"/>
              <w:overflowPunct/>
              <w:topLinePunct/>
              <w:autoSpaceDE/>
              <w:autoSpaceDN/>
              <w:bidi w:val="0"/>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（4）有依法缴纳税收和社会保障资金的良好记录。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67" w:type="dxa"/>
            <w:vMerge w:val="continue"/>
            <w:noWrap w:val="0"/>
            <w:vAlign w:val="center"/>
          </w:tcPr>
          <w:p>
            <w:pPr>
              <w:pStyle w:val="14"/>
              <w:pageBreakBefore w:val="0"/>
              <w:kinsoku/>
              <w:wordWrap w:val="0"/>
              <w:overflowPunct/>
              <w:topLinePunct/>
              <w:autoSpaceDE/>
              <w:autoSpaceDN/>
              <w:bidi w:val="0"/>
              <w:adjustRightInd w:val="0"/>
              <w:snapToGrid w:val="0"/>
              <w:spacing w:line="400" w:lineRule="exact"/>
              <w:jc w:val="left"/>
              <w:textAlignment w:val="auto"/>
              <w:rPr>
                <w:rFonts w:hint="eastAsia" w:ascii="宋体" w:hAnsi="宋体" w:eastAsia="宋体" w:cs="宋体"/>
                <w:sz w:val="21"/>
                <w:szCs w:val="21"/>
              </w:rPr>
            </w:pPr>
          </w:p>
        </w:tc>
        <w:tc>
          <w:tcPr>
            <w:tcW w:w="2883" w:type="dxa"/>
            <w:vMerge w:val="continue"/>
            <w:noWrap w:val="0"/>
            <w:vAlign w:val="center"/>
          </w:tcPr>
          <w:p>
            <w:pPr>
              <w:pStyle w:val="14"/>
              <w:pageBreakBefore w:val="0"/>
              <w:kinsoku/>
              <w:wordWrap w:val="0"/>
              <w:overflowPunct/>
              <w:topLinePunct/>
              <w:autoSpaceDE/>
              <w:autoSpaceDN/>
              <w:bidi w:val="0"/>
              <w:adjustRightInd w:val="0"/>
              <w:snapToGrid w:val="0"/>
              <w:spacing w:line="400" w:lineRule="exact"/>
              <w:jc w:val="center"/>
              <w:textAlignment w:val="auto"/>
              <w:rPr>
                <w:rFonts w:hint="eastAsia" w:ascii="宋体" w:hAnsi="宋体" w:eastAsia="宋体" w:cs="宋体"/>
                <w:sz w:val="21"/>
                <w:szCs w:val="21"/>
              </w:rPr>
            </w:pPr>
          </w:p>
        </w:tc>
        <w:tc>
          <w:tcPr>
            <w:tcW w:w="6362" w:type="dxa"/>
            <w:noWrap w:val="0"/>
            <w:vAlign w:val="center"/>
          </w:tcPr>
          <w:p>
            <w:pPr>
              <w:pStyle w:val="33"/>
              <w:pageBreakBefore w:val="0"/>
              <w:numPr>
                <w:ilvl w:val="3"/>
                <w:numId w:val="0"/>
              </w:numPr>
              <w:kinsoku/>
              <w:wordWrap w:val="0"/>
              <w:overflowPunct/>
              <w:topLinePunct/>
              <w:autoSpaceDE/>
              <w:autoSpaceDN/>
              <w:bidi w:val="0"/>
              <w:snapToGrid w:val="0"/>
              <w:spacing w:before="0" w:after="0" w:line="360" w:lineRule="exact"/>
              <w:textAlignment w:val="auto"/>
              <w:rPr>
                <w:rFonts w:hint="eastAsia" w:ascii="宋体" w:hAnsi="宋体" w:eastAsia="宋体" w:cs="宋体"/>
                <w:sz w:val="21"/>
                <w:szCs w:val="21"/>
                <w:lang w:val="en-US"/>
              </w:rPr>
            </w:pPr>
            <w:r>
              <w:rPr>
                <w:rFonts w:hint="eastAsia" w:ascii="宋体" w:hAnsi="宋体" w:eastAsia="宋体" w:cs="宋体"/>
                <w:sz w:val="21"/>
                <w:szCs w:val="21"/>
              </w:rPr>
              <w:t>*</w:t>
            </w:r>
            <w:r>
              <w:rPr>
                <w:rFonts w:hint="eastAsia" w:ascii="宋体" w:hAnsi="宋体" w:eastAsia="宋体" w:cs="宋体"/>
                <w:sz w:val="21"/>
                <w:szCs w:val="21"/>
                <w:lang w:val="en-US"/>
              </w:rPr>
              <w:t>4.2响应人应具备的特殊要求：</w:t>
            </w:r>
          </w:p>
          <w:p>
            <w:pPr>
              <w:pageBreakBefore w:val="0"/>
              <w:kinsoku/>
              <w:wordWrap w:val="0"/>
              <w:overflowPunct/>
              <w:topLinePunct/>
              <w:autoSpaceDE/>
              <w:autoSpaceDN/>
              <w:bidi w:val="0"/>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（1）具有市政公用工程施工总承包三级（含）以上资质；</w:t>
            </w:r>
          </w:p>
          <w:p>
            <w:pPr>
              <w:pageBreakBefore w:val="0"/>
              <w:kinsoku/>
              <w:wordWrap w:val="0"/>
              <w:overflowPunct/>
              <w:topLinePunct/>
              <w:autoSpaceDE/>
              <w:autoSpaceDN/>
              <w:bidi w:val="0"/>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（2）具有有效期内的安全生产许可证；</w:t>
            </w:r>
          </w:p>
          <w:p>
            <w:pPr>
              <w:pageBreakBefore w:val="0"/>
              <w:kinsoku/>
              <w:wordWrap w:val="0"/>
              <w:overflowPunct/>
              <w:topLinePunct/>
              <w:autoSpaceDE/>
              <w:autoSpaceDN/>
              <w:bidi w:val="0"/>
              <w:spacing w:line="400" w:lineRule="exact"/>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（3）项目负责人</w:t>
            </w:r>
            <w:r>
              <w:rPr>
                <w:rFonts w:hint="eastAsia" w:ascii="宋体" w:hAnsi="宋体" w:eastAsia="宋体" w:cs="宋体"/>
                <w:sz w:val="21"/>
                <w:szCs w:val="21"/>
                <w:lang w:eastAsia="zh-CN"/>
              </w:rPr>
              <w:t>：</w:t>
            </w:r>
            <w:r>
              <w:rPr>
                <w:rFonts w:hint="eastAsia" w:ascii="宋体" w:hAnsi="宋体" w:eastAsia="宋体" w:cs="宋体"/>
                <w:sz w:val="21"/>
                <w:szCs w:val="21"/>
              </w:rPr>
              <w:t>市政公用工程二级建造师（含）以上资质及建设行政主管部门颁发的安全生产考核证书B证；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67" w:type="dxa"/>
            <w:noWrap w:val="0"/>
            <w:vAlign w:val="center"/>
          </w:tcPr>
          <w:p>
            <w:pPr>
              <w:pStyle w:val="14"/>
              <w:pageBreakBefore w:val="0"/>
              <w:kinsoku/>
              <w:wordWrap w:val="0"/>
              <w:overflowPunct/>
              <w:topLinePunct/>
              <w:autoSpaceDE/>
              <w:autoSpaceDN/>
              <w:bidi w:val="0"/>
              <w:adjustRightInd w:val="0"/>
              <w:snapToGrid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2883" w:type="dxa"/>
            <w:noWrap w:val="0"/>
            <w:vAlign w:val="center"/>
          </w:tcPr>
          <w:p>
            <w:pPr>
              <w:pageBreakBefore w:val="0"/>
              <w:kinsoku/>
              <w:wordWrap w:val="0"/>
              <w:overflowPunct/>
              <w:topLinePunct/>
              <w:autoSpaceDE/>
              <w:autoSpaceDN/>
              <w:bidi w:val="0"/>
              <w:snapToGrid w:val="0"/>
              <w:spacing w:line="400" w:lineRule="exact"/>
              <w:jc w:val="center"/>
              <w:textAlignment w:val="auto"/>
              <w:rPr>
                <w:rFonts w:hint="eastAsia" w:ascii="宋体" w:hAnsi="宋体" w:eastAsia="宋体" w:cs="宋体"/>
                <w:color w:val="000000"/>
                <w:sz w:val="21"/>
                <w:szCs w:val="21"/>
              </w:rPr>
            </w:pPr>
            <w:r>
              <w:rPr>
                <w:rFonts w:hint="eastAsia" w:ascii="宋体" w:hAnsi="宋体" w:eastAsia="宋体" w:cs="宋体"/>
                <w:sz w:val="21"/>
                <w:szCs w:val="21"/>
                <w:lang w:bidi="ar"/>
              </w:rPr>
              <w:t xml:space="preserve">资格审查 </w:t>
            </w:r>
          </w:p>
        </w:tc>
        <w:tc>
          <w:tcPr>
            <w:tcW w:w="6362" w:type="dxa"/>
            <w:noWrap w:val="0"/>
            <w:vAlign w:val="center"/>
          </w:tcPr>
          <w:p>
            <w:pPr>
              <w:pageBreakBefore w:val="0"/>
              <w:kinsoku/>
              <w:wordWrap w:val="0"/>
              <w:overflowPunct/>
              <w:topLinePunct/>
              <w:autoSpaceDE/>
              <w:autoSpaceDN/>
              <w:bidi w:val="0"/>
              <w:snapToGrid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5.1本项目采用资格后审方式。</w:t>
            </w:r>
          </w:p>
          <w:p>
            <w:pPr>
              <w:pageBreakBefore w:val="0"/>
              <w:kinsoku/>
              <w:wordWrap w:val="0"/>
              <w:overflowPunct/>
              <w:topLinePunct/>
              <w:autoSpaceDE/>
              <w:autoSpaceDN/>
              <w:bidi w:val="0"/>
              <w:spacing w:line="400" w:lineRule="exac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.2资格后审材料清单如下：</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*1、企业法人营业执照副本，企业资质证书副本，企业安全生产许可证副本；</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*2、拟投标建造师注册证书及建设行政主管部门颁发的安全生产考核证书B证；</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投标的委托代理人及项目负责人需提供社保机构出具的注册单位为其缴纳的社会基本养老保险缴纳凭证（养老保险缴纳时间为2021年3月至今月，其中任意一月）。①凭证包括（其一均可：1）社保手册；2）该投标单位经社保机构出具的缴费清单；3）由社保机构打印出具的缴纳凭证。</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*4、具备履行合同所必需的设备和专业技术能力的书面声明；</w:t>
            </w:r>
            <w:r>
              <w:rPr>
                <w:rFonts w:hint="eastAsia" w:ascii="宋体" w:hAnsi="宋体" w:eastAsia="宋体" w:cs="宋体"/>
                <w:sz w:val="21"/>
                <w:szCs w:val="21"/>
                <w:highlight w:val="yellow"/>
              </w:rPr>
              <w:t>（详见第</w:t>
            </w:r>
            <w:r>
              <w:rPr>
                <w:rFonts w:hint="eastAsia" w:ascii="宋体" w:hAnsi="宋体" w:eastAsia="宋体" w:cs="宋体"/>
                <w:sz w:val="21"/>
                <w:szCs w:val="21"/>
                <w:highlight w:val="yellow"/>
                <w:lang w:val="en-US" w:eastAsia="zh-CN"/>
              </w:rPr>
              <w:t>六</w:t>
            </w:r>
            <w:r>
              <w:rPr>
                <w:rFonts w:hint="eastAsia" w:ascii="宋体" w:hAnsi="宋体" w:eastAsia="宋体" w:cs="宋体"/>
                <w:sz w:val="21"/>
                <w:szCs w:val="21"/>
                <w:highlight w:val="yellow"/>
              </w:rPr>
              <w:t>部分-投标文件格式附件）</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、参加政府采购活动前3年内在经营活动中没有重大违法记录的书面声明；（</w:t>
            </w:r>
            <w:r>
              <w:rPr>
                <w:rFonts w:hint="eastAsia" w:ascii="宋体" w:hAnsi="宋体" w:eastAsia="宋体" w:cs="宋体"/>
                <w:sz w:val="21"/>
                <w:szCs w:val="21"/>
                <w:highlight w:val="yellow"/>
              </w:rPr>
              <w:t>详见第</w:t>
            </w:r>
            <w:r>
              <w:rPr>
                <w:rFonts w:hint="eastAsia" w:ascii="宋体" w:hAnsi="宋体" w:eastAsia="宋体" w:cs="宋体"/>
                <w:sz w:val="21"/>
                <w:szCs w:val="21"/>
                <w:highlight w:val="yellow"/>
                <w:lang w:val="en-US" w:eastAsia="zh-CN"/>
              </w:rPr>
              <w:t>六</w:t>
            </w:r>
            <w:r>
              <w:rPr>
                <w:rFonts w:hint="eastAsia" w:ascii="宋体" w:hAnsi="宋体" w:eastAsia="宋体" w:cs="宋体"/>
                <w:sz w:val="21"/>
                <w:szCs w:val="21"/>
                <w:highlight w:val="yellow"/>
              </w:rPr>
              <w:t>部分-投标文件格式附件</w:t>
            </w:r>
            <w:r>
              <w:rPr>
                <w:rFonts w:hint="eastAsia" w:ascii="宋体" w:hAnsi="宋体" w:eastAsia="宋体" w:cs="宋体"/>
                <w:sz w:val="21"/>
                <w:szCs w:val="21"/>
              </w:rPr>
              <w:t>）</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、投标人基本资格要求材料；</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6.1）具有有效营业执照或事业单位法人证书；</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6.2）具有本项目实施能力和良好的商业信誉；</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6.3）具有健全的财务会计制度；</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6.4）有依法缴纳税收和社会保障资金的良好记录；</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以上6.1）∽6.4）材料为投标人基本资格审查材料，对该部分的资格审查材料只须提供承诺书面声明（</w:t>
            </w:r>
            <w:r>
              <w:rPr>
                <w:rFonts w:hint="eastAsia" w:ascii="宋体" w:hAnsi="宋体" w:eastAsia="宋体" w:cs="宋体"/>
                <w:sz w:val="21"/>
                <w:szCs w:val="21"/>
                <w:highlight w:val="yellow"/>
              </w:rPr>
              <w:t>详见第</w:t>
            </w:r>
            <w:r>
              <w:rPr>
                <w:rFonts w:hint="eastAsia" w:ascii="宋体" w:hAnsi="宋体" w:eastAsia="宋体" w:cs="宋体"/>
                <w:sz w:val="21"/>
                <w:szCs w:val="21"/>
                <w:highlight w:val="yellow"/>
                <w:lang w:val="en-US" w:eastAsia="zh-CN"/>
              </w:rPr>
              <w:t>六</w:t>
            </w:r>
            <w:r>
              <w:rPr>
                <w:rFonts w:hint="eastAsia" w:ascii="宋体" w:hAnsi="宋体" w:eastAsia="宋体" w:cs="宋体"/>
                <w:sz w:val="21"/>
                <w:szCs w:val="21"/>
                <w:highlight w:val="yellow"/>
              </w:rPr>
              <w:t>部分-投标文件格式附件</w:t>
            </w:r>
            <w:r>
              <w:rPr>
                <w:rFonts w:hint="eastAsia" w:ascii="宋体" w:hAnsi="宋体" w:eastAsia="宋体" w:cs="宋体"/>
                <w:sz w:val="21"/>
                <w:szCs w:val="21"/>
              </w:rPr>
              <w:t>），投标人承诺须遵守《中华人民共和国政府采购法》第二十二、七十七条和《中华人民共和国政府采购法实施条例》第十七条之规定，如有违反，依法接受相应处罚。</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注：1）资格后审时一次性递交以上*1-*</w:t>
            </w:r>
            <w:r>
              <w:rPr>
                <w:rFonts w:hint="eastAsia" w:ascii="宋体" w:hAnsi="宋体" w:eastAsia="宋体" w:cs="宋体"/>
                <w:sz w:val="21"/>
                <w:szCs w:val="21"/>
                <w:lang w:val="en-US" w:eastAsia="zh-CN"/>
              </w:rPr>
              <w:t>6</w:t>
            </w:r>
            <w:r>
              <w:rPr>
                <w:rFonts w:hint="eastAsia" w:ascii="宋体" w:hAnsi="宋体" w:eastAsia="宋体" w:cs="宋体"/>
                <w:sz w:val="21"/>
                <w:szCs w:val="21"/>
              </w:rPr>
              <w:t>要求的资料，不接受补充资料，资格后审不合格的投标人的响应文件将按无效标书处理。</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2）上述*1-*</w:t>
            </w:r>
            <w:r>
              <w:rPr>
                <w:rFonts w:hint="eastAsia" w:ascii="宋体" w:hAnsi="宋体" w:eastAsia="宋体" w:cs="宋体"/>
                <w:sz w:val="21"/>
                <w:szCs w:val="21"/>
                <w:lang w:val="en-US" w:eastAsia="zh-CN"/>
              </w:rPr>
              <w:t>6</w:t>
            </w:r>
            <w:r>
              <w:rPr>
                <w:rFonts w:hint="eastAsia" w:ascii="宋体" w:hAnsi="宋体" w:eastAsia="宋体" w:cs="宋体"/>
                <w:sz w:val="21"/>
                <w:szCs w:val="21"/>
              </w:rPr>
              <w:t>资格后审审查资料必须另行提供一套复印件（并加盖单位</w:t>
            </w:r>
            <w:r>
              <w:rPr>
                <w:rFonts w:hint="eastAsia" w:ascii="宋体" w:hAnsi="宋体" w:eastAsia="宋体" w:cs="宋体"/>
                <w:sz w:val="21"/>
                <w:szCs w:val="21"/>
                <w:lang w:val="en-US" w:eastAsia="zh-CN"/>
              </w:rPr>
              <w:t>鲜</w:t>
            </w:r>
            <w:r>
              <w:rPr>
                <w:rFonts w:hint="eastAsia" w:ascii="宋体" w:hAnsi="宋体" w:eastAsia="宋体" w:cs="宋体"/>
                <w:sz w:val="21"/>
                <w:szCs w:val="21"/>
              </w:rPr>
              <w:t>章）装订成册，装订成册的资格审查资料复印件需与资格审查资料的</w:t>
            </w:r>
            <w:r>
              <w:rPr>
                <w:rFonts w:hint="eastAsia" w:ascii="宋体" w:hAnsi="宋体" w:cs="宋体"/>
                <w:b/>
                <w:sz w:val="21"/>
                <w:szCs w:val="21"/>
              </w:rPr>
              <w:t>原件（资质证书、安全生产许可证、建造师证书、安全B证、社保凭证可提供带二维码的打印件）</w:t>
            </w:r>
            <w:r>
              <w:rPr>
                <w:rFonts w:hint="eastAsia" w:ascii="宋体" w:hAnsi="宋体" w:eastAsia="宋体" w:cs="宋体"/>
                <w:sz w:val="21"/>
                <w:szCs w:val="21"/>
              </w:rPr>
              <w:t>单独密封在同一档案袋中，在投标截止时间前随同响应文件一并提交以供采购代理机构及采购人进行核查。</w:t>
            </w:r>
          </w:p>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各投标供应商需在开标截止时间前将资格审查原件（或公证件）与响应文件一并提交。开标结束后，依法对各投标供应商进行资格审查，若不符合投标资格要求（或资料不齐全、资料不合格），则资格审核不通过，作无效标书处理，资审不合格的供应商不再进入后续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是否允许代理商投标</w:t>
            </w:r>
          </w:p>
        </w:tc>
        <w:tc>
          <w:tcPr>
            <w:tcW w:w="6362" w:type="dxa"/>
            <w:noWrap w:val="0"/>
            <w:vAlign w:val="center"/>
          </w:tcPr>
          <w:p>
            <w:pPr>
              <w:pageBreakBefore w:val="0"/>
              <w:kinsoku/>
              <w:wordWrap w:val="0"/>
              <w:overflowPunct/>
              <w:topLinePunct/>
              <w:autoSpaceDE/>
              <w:autoSpaceDN/>
              <w:bidi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是否允许联合体投标</w:t>
            </w:r>
          </w:p>
        </w:tc>
        <w:tc>
          <w:tcPr>
            <w:tcW w:w="6362" w:type="dxa"/>
            <w:noWrap w:val="0"/>
            <w:vAlign w:val="center"/>
          </w:tcPr>
          <w:p>
            <w:pPr>
              <w:pageBreakBefore w:val="0"/>
              <w:kinsoku/>
              <w:wordWrap w:val="0"/>
              <w:overflowPunct/>
              <w:topLinePunct/>
              <w:autoSpaceDE/>
              <w:autoSpaceDN/>
              <w:bidi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是否组织现场考察</w:t>
            </w:r>
          </w:p>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（标前答疑会）</w:t>
            </w:r>
          </w:p>
        </w:tc>
        <w:tc>
          <w:tcPr>
            <w:tcW w:w="6362" w:type="dxa"/>
            <w:noWrap w:val="0"/>
            <w:vAlign w:val="center"/>
          </w:tcPr>
          <w:p>
            <w:pPr>
              <w:pageBreakBefore w:val="0"/>
              <w:kinsoku/>
              <w:wordWrap w:val="0"/>
              <w:overflowPunct/>
              <w:topLinePunct/>
              <w:autoSpaceDE/>
              <w:autoSpaceDN/>
              <w:bidi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构成谈谈判文件的其他材料</w:t>
            </w:r>
          </w:p>
        </w:tc>
        <w:tc>
          <w:tcPr>
            <w:tcW w:w="6362" w:type="dxa"/>
            <w:noWrap w:val="0"/>
            <w:vAlign w:val="center"/>
          </w:tcPr>
          <w:p>
            <w:pPr>
              <w:pStyle w:val="14"/>
              <w:pageBreakBefore w:val="0"/>
              <w:kinsoku/>
              <w:wordWrap w:val="0"/>
              <w:overflowPunct/>
              <w:topLinePunct/>
              <w:autoSpaceDE/>
              <w:autoSpaceDN/>
              <w:bidi w:val="0"/>
              <w:adjustRightInd w:val="0"/>
              <w:snapToGrid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谈判文件答疑纪要、澄清、更正、说明等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响应人要求澄清谈判文件的截止时间</w:t>
            </w:r>
          </w:p>
        </w:tc>
        <w:tc>
          <w:tcPr>
            <w:tcW w:w="6362" w:type="dxa"/>
            <w:noWrap w:val="0"/>
            <w:vAlign w:val="center"/>
          </w:tcPr>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GB"/>
              </w:rPr>
              <w:t>本项目不召开标前答疑会，投标人如对采购文件有疑问，须在</w:t>
            </w:r>
            <w:r>
              <w:rPr>
                <w:rFonts w:hint="eastAsia" w:ascii="宋体" w:hAnsi="宋体" w:eastAsia="宋体" w:cs="宋体"/>
                <w:color w:val="0000FF"/>
                <w:sz w:val="21"/>
                <w:szCs w:val="21"/>
                <w:lang w:val="en-GB"/>
              </w:rPr>
              <w:t>20</w:t>
            </w:r>
            <w:r>
              <w:rPr>
                <w:rFonts w:hint="eastAsia" w:ascii="宋体" w:hAnsi="宋体" w:eastAsia="宋体" w:cs="宋体"/>
                <w:color w:val="0000FF"/>
                <w:sz w:val="21"/>
                <w:szCs w:val="21"/>
              </w:rPr>
              <w:t>21</w:t>
            </w:r>
            <w:r>
              <w:rPr>
                <w:rFonts w:hint="eastAsia" w:ascii="宋体" w:hAnsi="宋体" w:eastAsia="宋体" w:cs="宋体"/>
                <w:color w:val="0000FF"/>
                <w:sz w:val="21"/>
                <w:szCs w:val="21"/>
                <w:lang w:val="en-GB"/>
              </w:rPr>
              <w:t>年</w:t>
            </w:r>
            <w:r>
              <w:rPr>
                <w:rFonts w:hint="eastAsia" w:ascii="宋体" w:hAnsi="宋体" w:eastAsia="宋体" w:cs="宋体"/>
                <w:color w:val="0000FF"/>
                <w:sz w:val="21"/>
                <w:szCs w:val="21"/>
                <w:lang w:val="en-US" w:eastAsia="zh-CN"/>
              </w:rPr>
              <w:t>6</w:t>
            </w:r>
            <w:r>
              <w:rPr>
                <w:rFonts w:hint="eastAsia" w:ascii="宋体" w:hAnsi="宋体" w:eastAsia="宋体" w:cs="宋体"/>
                <w:color w:val="0000FF"/>
                <w:sz w:val="21"/>
                <w:szCs w:val="21"/>
                <w:lang w:val="en-GB"/>
              </w:rPr>
              <w:t>月</w:t>
            </w:r>
            <w:r>
              <w:rPr>
                <w:rFonts w:hint="eastAsia" w:ascii="宋体" w:hAnsi="宋体" w:eastAsia="宋体" w:cs="宋体"/>
                <w:color w:val="0000FF"/>
                <w:sz w:val="21"/>
                <w:szCs w:val="21"/>
                <w:highlight w:val="yellow"/>
                <w:lang w:val="en-US" w:eastAsia="zh-CN"/>
              </w:rPr>
              <w:t xml:space="preserve"> </w:t>
            </w:r>
            <w:r>
              <w:rPr>
                <w:rFonts w:hint="eastAsia" w:ascii="宋体" w:hAnsi="宋体" w:cs="宋体"/>
                <w:color w:val="0000FF"/>
                <w:sz w:val="21"/>
                <w:szCs w:val="21"/>
                <w:highlight w:val="yellow"/>
                <w:lang w:val="en-US" w:eastAsia="zh-CN"/>
              </w:rPr>
              <w:t>10</w:t>
            </w:r>
            <w:r>
              <w:rPr>
                <w:rFonts w:hint="eastAsia" w:ascii="宋体" w:hAnsi="宋体" w:eastAsia="宋体" w:cs="宋体"/>
                <w:color w:val="0000FF"/>
                <w:sz w:val="21"/>
                <w:szCs w:val="21"/>
                <w:highlight w:val="yellow"/>
                <w:lang w:val="en-US" w:eastAsia="zh-CN"/>
              </w:rPr>
              <w:t xml:space="preserve"> </w:t>
            </w:r>
            <w:r>
              <w:rPr>
                <w:rFonts w:hint="eastAsia" w:ascii="宋体" w:hAnsi="宋体" w:eastAsia="宋体" w:cs="宋体"/>
                <w:color w:val="0000FF"/>
                <w:sz w:val="21"/>
                <w:szCs w:val="21"/>
                <w:lang w:val="en-GB"/>
              </w:rPr>
              <w:t>日</w:t>
            </w:r>
            <w:r>
              <w:rPr>
                <w:rFonts w:hint="eastAsia" w:ascii="宋体" w:hAnsi="宋体" w:eastAsia="宋体" w:cs="宋体"/>
                <w:sz w:val="21"/>
                <w:szCs w:val="21"/>
                <w:lang w:val="en-GB"/>
              </w:rPr>
              <w:t>上午</w:t>
            </w:r>
            <w:r>
              <w:rPr>
                <w:rFonts w:hint="eastAsia" w:ascii="宋体" w:hAnsi="宋体" w:eastAsia="宋体" w:cs="宋体"/>
                <w:sz w:val="21"/>
                <w:szCs w:val="21"/>
              </w:rPr>
              <w:t>11</w:t>
            </w:r>
            <w:r>
              <w:rPr>
                <w:rFonts w:hint="eastAsia" w:ascii="宋体" w:hAnsi="宋体" w:eastAsia="宋体" w:cs="宋体"/>
                <w:sz w:val="21"/>
                <w:szCs w:val="21"/>
                <w:lang w:val="en-GB"/>
              </w:rPr>
              <w:t>：00时前，各投标单位将疑问以书面形式并加盖投标单位公章，以邮件传至</w:t>
            </w:r>
            <w:r>
              <w:rPr>
                <w:rFonts w:hint="eastAsia" w:ascii="宋体" w:hAnsi="宋体" w:eastAsia="宋体" w:cs="宋体"/>
                <w:sz w:val="21"/>
                <w:szCs w:val="21"/>
                <w:lang w:val="en-GB" w:eastAsia="zh-CN"/>
              </w:rPr>
              <w:t>江苏和润工程项目管理有限公司</w:t>
            </w:r>
            <w:r>
              <w:rPr>
                <w:rFonts w:hint="eastAsia" w:ascii="宋体" w:hAnsi="宋体" w:eastAsia="宋体" w:cs="宋体"/>
                <w:sz w:val="21"/>
                <w:szCs w:val="21"/>
                <w:lang w:val="en-US" w:eastAsia="zh-CN"/>
              </w:rPr>
              <w:t>478104987</w:t>
            </w:r>
            <w:r>
              <w:rPr>
                <w:rFonts w:hint="eastAsia" w:ascii="宋体" w:hAnsi="宋体" w:eastAsia="宋体" w:cs="宋体"/>
                <w:sz w:val="21"/>
                <w:szCs w:val="21"/>
                <w:lang w:val="en-GB"/>
              </w:rPr>
              <w:t>@qq.com并电话联系</w:t>
            </w:r>
            <w:r>
              <w:rPr>
                <w:rFonts w:hint="eastAsia" w:ascii="宋体" w:hAnsi="宋体" w:eastAsia="宋体" w:cs="宋体"/>
                <w:sz w:val="21"/>
                <w:szCs w:val="21"/>
              </w:rPr>
              <w:t>，逾期不予受理。</w:t>
            </w:r>
            <w:r>
              <w:rPr>
                <w:rFonts w:hint="eastAsia" w:ascii="宋体" w:hAnsi="宋体" w:eastAsia="宋体" w:cs="宋体"/>
                <w:b/>
                <w:bCs/>
                <w:sz w:val="21"/>
                <w:szCs w:val="21"/>
              </w:rPr>
              <w:t>注：质疑函应按照财政部《政府采购供应商质疑函范本》格式和要求制作，网址：http://www.mof.gov.cn/gp/xxgkml/gks/201802/t20180201_2804587.html（未按照相关格式和要求制作的质疑函将不予受理。）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11</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采购人对谈判文件澄清、修改时间</w:t>
            </w:r>
          </w:p>
        </w:tc>
        <w:tc>
          <w:tcPr>
            <w:tcW w:w="6362" w:type="dxa"/>
            <w:noWrap w:val="0"/>
            <w:vAlign w:val="center"/>
          </w:tcPr>
          <w:p>
            <w:pPr>
              <w:pStyle w:val="14"/>
              <w:pageBreakBefore w:val="0"/>
              <w:kinsoku/>
              <w:wordWrap w:val="0"/>
              <w:overflowPunct/>
              <w:topLinePunct/>
              <w:autoSpaceDE/>
              <w:autoSpaceDN/>
              <w:bidi w:val="0"/>
              <w:adjustRightInd w:val="0"/>
              <w:snapToGrid w:val="0"/>
              <w:spacing w:line="400" w:lineRule="exact"/>
              <w:jc w:val="left"/>
              <w:textAlignment w:val="auto"/>
              <w:rPr>
                <w:rFonts w:hint="eastAsia" w:ascii="宋体" w:hAnsi="宋体" w:eastAsia="宋体" w:cs="宋体"/>
                <w:sz w:val="21"/>
                <w:szCs w:val="21"/>
              </w:rPr>
            </w:pPr>
            <w:r>
              <w:rPr>
                <w:rFonts w:hint="eastAsia" w:ascii="宋体" w:hAnsi="宋体" w:eastAsia="宋体" w:cs="宋体"/>
                <w:color w:val="0000FF"/>
                <w:kern w:val="20"/>
                <w:sz w:val="21"/>
                <w:szCs w:val="21"/>
                <w:lang w:val="zh-CN"/>
              </w:rPr>
              <w:t>202</w:t>
            </w:r>
            <w:r>
              <w:rPr>
                <w:rFonts w:hint="eastAsia" w:ascii="宋体" w:hAnsi="宋体" w:eastAsia="宋体" w:cs="宋体"/>
                <w:color w:val="0000FF"/>
                <w:kern w:val="20"/>
                <w:sz w:val="21"/>
                <w:szCs w:val="21"/>
              </w:rPr>
              <w:t>1</w:t>
            </w:r>
            <w:r>
              <w:rPr>
                <w:rFonts w:hint="eastAsia" w:ascii="宋体" w:hAnsi="宋体" w:eastAsia="宋体" w:cs="宋体"/>
                <w:color w:val="0000FF"/>
                <w:kern w:val="20"/>
                <w:sz w:val="21"/>
                <w:szCs w:val="21"/>
                <w:lang w:val="zh-CN"/>
              </w:rPr>
              <w:t>年</w:t>
            </w:r>
            <w:r>
              <w:rPr>
                <w:rFonts w:hint="eastAsia" w:ascii="宋体" w:hAnsi="宋体" w:eastAsia="宋体" w:cs="宋体"/>
                <w:color w:val="0000FF"/>
                <w:kern w:val="20"/>
                <w:sz w:val="21"/>
                <w:szCs w:val="21"/>
                <w:lang w:val="en-US" w:eastAsia="zh-CN"/>
              </w:rPr>
              <w:t>6</w:t>
            </w:r>
            <w:r>
              <w:rPr>
                <w:rFonts w:hint="eastAsia" w:ascii="宋体" w:hAnsi="宋体" w:eastAsia="宋体" w:cs="宋体"/>
                <w:color w:val="0000FF"/>
                <w:kern w:val="20"/>
                <w:sz w:val="21"/>
                <w:szCs w:val="21"/>
                <w:lang w:val="zh-CN"/>
              </w:rPr>
              <w:t>月</w:t>
            </w:r>
            <w:r>
              <w:rPr>
                <w:rFonts w:hint="eastAsia" w:ascii="宋体" w:hAnsi="宋体" w:cs="宋体"/>
                <w:color w:val="0000FF"/>
                <w:kern w:val="20"/>
                <w:sz w:val="21"/>
                <w:szCs w:val="21"/>
                <w:highlight w:val="yellow"/>
                <w:lang w:val="en-US" w:eastAsia="zh-CN"/>
              </w:rPr>
              <w:t>4</w:t>
            </w:r>
            <w:r>
              <w:rPr>
                <w:rFonts w:hint="eastAsia" w:ascii="宋体" w:hAnsi="宋体" w:eastAsia="宋体" w:cs="宋体"/>
                <w:color w:val="0000FF"/>
                <w:kern w:val="20"/>
                <w:sz w:val="21"/>
                <w:szCs w:val="21"/>
                <w:highlight w:val="yellow"/>
                <w:lang w:val="en-US" w:eastAsia="zh-CN"/>
              </w:rPr>
              <w:t xml:space="preserve"> </w:t>
            </w:r>
            <w:r>
              <w:rPr>
                <w:rFonts w:hint="eastAsia" w:ascii="宋体" w:hAnsi="宋体" w:eastAsia="宋体" w:cs="宋体"/>
                <w:color w:val="0000FF"/>
                <w:kern w:val="20"/>
                <w:sz w:val="21"/>
                <w:szCs w:val="21"/>
                <w:lang w:val="zh-CN"/>
              </w:rPr>
              <w:t>日</w:t>
            </w:r>
            <w:r>
              <w:rPr>
                <w:rFonts w:hint="eastAsia" w:ascii="宋体" w:hAnsi="宋体" w:eastAsia="宋体" w:cs="宋体"/>
                <w:kern w:val="0"/>
                <w:sz w:val="21"/>
                <w:szCs w:val="21"/>
              </w:rPr>
              <w:t>至响应文件接收截止之日</w:t>
            </w:r>
            <w:r>
              <w:rPr>
                <w:rFonts w:hint="eastAsia" w:ascii="宋体" w:hAnsi="宋体" w:eastAsia="宋体" w:cs="宋体"/>
                <w:color w:val="000000"/>
                <w:kern w:val="0"/>
                <w:sz w:val="21"/>
                <w:szCs w:val="21"/>
              </w:rPr>
              <w:t>3个工作日前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12</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采购人对谈判文件澄清方式</w:t>
            </w:r>
          </w:p>
        </w:tc>
        <w:tc>
          <w:tcPr>
            <w:tcW w:w="6362" w:type="dxa"/>
            <w:noWrap w:val="0"/>
            <w:vAlign w:val="center"/>
          </w:tcPr>
          <w:p>
            <w:pPr>
              <w:pageBreakBefore w:val="0"/>
              <w:kinsoku/>
              <w:wordWrap w:val="0"/>
              <w:overflowPunct/>
              <w:topLinePunct/>
              <w:autoSpaceDE/>
              <w:autoSpaceDN/>
              <w:bidi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在原公告发布媒体上以澄清公告的形式公告。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13</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bCs/>
                <w:sz w:val="21"/>
                <w:szCs w:val="21"/>
              </w:rPr>
              <w:t>响应文件递交方式</w:t>
            </w:r>
          </w:p>
        </w:tc>
        <w:tc>
          <w:tcPr>
            <w:tcW w:w="6362" w:type="dxa"/>
            <w:noWrap w:val="0"/>
            <w:vAlign w:val="center"/>
          </w:tcPr>
          <w:p>
            <w:pPr>
              <w:pStyle w:val="34"/>
              <w:pageBreakBefore w:val="0"/>
              <w:kinsoku/>
              <w:wordWrap w:val="0"/>
              <w:overflowPunct/>
              <w:topLinePunct/>
              <w:autoSpaceDE/>
              <w:autoSpaceDN/>
              <w:bidi w:val="0"/>
              <w:snapToGrid w:val="0"/>
              <w:spacing w:before="0" w:after="0" w:line="400" w:lineRule="exact"/>
              <w:ind w:left="0" w:leftChars="0" w:firstLine="0" w:firstLineChars="0"/>
              <w:textAlignment w:val="auto"/>
              <w:rPr>
                <w:rFonts w:hint="eastAsia" w:ascii="宋体" w:hAnsi="宋体" w:eastAsia="宋体" w:cs="宋体"/>
                <w:sz w:val="21"/>
                <w:szCs w:val="21"/>
              </w:rPr>
            </w:pPr>
            <w:r>
              <w:rPr>
                <w:rFonts w:hint="eastAsia" w:ascii="宋体" w:hAnsi="宋体" w:eastAsia="宋体" w:cs="宋体"/>
                <w:kern w:val="20"/>
                <w:sz w:val="21"/>
                <w:szCs w:val="21"/>
                <w:lang w:val="zh-CN"/>
              </w:rPr>
              <w:t>*本项目采用线下投标，请符合投标条件的响应人应携带规定的材料于谈判开始前到谈判地点，进行开标。</w:t>
            </w:r>
            <w:r>
              <w:rPr>
                <w:rFonts w:hint="eastAsia" w:ascii="宋体" w:hAnsi="宋体" w:eastAsia="宋体" w:cs="宋体"/>
                <w:bCs/>
                <w:sz w:val="21"/>
                <w:szCs w:val="21"/>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14</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响应文件份数</w:t>
            </w:r>
          </w:p>
        </w:tc>
        <w:tc>
          <w:tcPr>
            <w:tcW w:w="6362" w:type="dxa"/>
            <w:noWrap w:val="0"/>
            <w:vAlign w:val="center"/>
          </w:tcPr>
          <w:p>
            <w:pPr>
              <w:pageBreakBefore w:val="0"/>
              <w:kinsoku/>
              <w:wordWrap w:val="0"/>
              <w:overflowPunct/>
              <w:topLinePunct/>
              <w:autoSpaceDE/>
              <w:autoSpaceDN/>
              <w:bidi w:val="0"/>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*14.1响应文件一式三份，一份正本、二份副本；正本和副本必须分开装订，</w:t>
            </w:r>
            <w:r>
              <w:rPr>
                <w:rFonts w:hint="eastAsia" w:ascii="宋体" w:hAnsi="宋体" w:eastAsia="宋体" w:cs="宋体"/>
                <w:sz w:val="21"/>
                <w:szCs w:val="21"/>
                <w:lang w:val="en-US" w:eastAsia="zh-CN"/>
              </w:rPr>
              <w:t>分别</w:t>
            </w:r>
            <w:r>
              <w:rPr>
                <w:rFonts w:hint="eastAsia" w:ascii="宋体" w:hAnsi="宋体" w:eastAsia="宋体" w:cs="宋体"/>
                <w:sz w:val="21"/>
                <w:szCs w:val="21"/>
              </w:rPr>
              <w:t>用封套加以密封</w:t>
            </w:r>
            <w:r>
              <w:rPr>
                <w:rFonts w:hint="eastAsia" w:ascii="宋体" w:hAnsi="宋体" w:eastAsia="宋体" w:cs="宋体"/>
                <w:sz w:val="21"/>
                <w:szCs w:val="21"/>
                <w:lang w:eastAsia="zh-CN"/>
              </w:rPr>
              <w:t>、</w:t>
            </w:r>
            <w:r>
              <w:rPr>
                <w:rFonts w:hint="eastAsia" w:ascii="宋体" w:hAnsi="宋体"/>
                <w:bCs/>
                <w:snapToGrid w:val="0"/>
                <w:szCs w:val="21"/>
              </w:rPr>
              <w:t>标识，</w:t>
            </w:r>
            <w:r>
              <w:rPr>
                <w:rFonts w:hint="eastAsia" w:ascii="宋体" w:hAnsi="宋体" w:cs="宋体"/>
                <w:bCs/>
                <w:szCs w:val="21"/>
              </w:rPr>
              <w:t>否则招标人将拒绝</w:t>
            </w:r>
            <w:r>
              <w:rPr>
                <w:rFonts w:hint="eastAsia" w:ascii="宋体" w:hAnsi="宋体"/>
                <w:bCs/>
                <w:snapToGrid w:val="0"/>
                <w:szCs w:val="21"/>
              </w:rPr>
              <w:t>其投标</w:t>
            </w:r>
            <w:r>
              <w:rPr>
                <w:rFonts w:hint="eastAsia" w:ascii="宋体" w:hAnsi="宋体" w:eastAsia="宋体" w:cs="宋体"/>
                <w:sz w:val="21"/>
                <w:szCs w:val="21"/>
              </w:rPr>
              <w:t>。</w:t>
            </w:r>
          </w:p>
          <w:p>
            <w:pPr>
              <w:pageBreakBefore w:val="0"/>
              <w:kinsoku/>
              <w:wordWrap w:val="0"/>
              <w:overflowPunct/>
              <w:topLinePunct/>
              <w:autoSpaceDE/>
              <w:autoSpaceDN/>
              <w:bidi w:val="0"/>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*14.2响应文件的装订</w:t>
            </w:r>
            <w:r>
              <w:rPr>
                <w:rFonts w:hint="eastAsia" w:ascii="宋体" w:hAnsi="宋体" w:eastAsia="宋体" w:cs="宋体"/>
                <w:sz w:val="21"/>
                <w:szCs w:val="21"/>
                <w:lang w:val="en-US" w:eastAsia="zh-CN"/>
              </w:rPr>
              <w:t>成册</w:t>
            </w:r>
            <w:r>
              <w:rPr>
                <w:rFonts w:hint="eastAsia" w:ascii="宋体" w:hAnsi="宋体" w:eastAsia="宋体" w:cs="宋体"/>
                <w:sz w:val="21"/>
                <w:szCs w:val="21"/>
              </w:rPr>
              <w:t>，不得采用活页装订方式，否则，其响应将被拒绝。</w:t>
            </w:r>
          </w:p>
          <w:p>
            <w:pPr>
              <w:pageBreakBefore w:val="0"/>
              <w:kinsoku/>
              <w:wordWrap w:val="0"/>
              <w:overflowPunct/>
              <w:topLinePunct/>
              <w:autoSpaceDE/>
              <w:autoSpaceDN/>
              <w:bidi w:val="0"/>
              <w:spacing w:line="400" w:lineRule="exact"/>
              <w:textAlignment w:val="auto"/>
              <w:rPr>
                <w:rFonts w:hint="eastAsia" w:ascii="宋体" w:hAnsi="宋体" w:eastAsia="宋体" w:cs="宋体"/>
                <w:sz w:val="21"/>
                <w:szCs w:val="21"/>
              </w:rPr>
            </w:pPr>
            <w:r>
              <w:rPr>
                <w:rFonts w:hint="eastAsia" w:ascii="宋体" w:hAnsi="宋体" w:eastAsia="宋体" w:cs="宋体"/>
                <w:b/>
                <w:bCs/>
                <w:sz w:val="21"/>
                <w:szCs w:val="21"/>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15</w:t>
            </w:r>
          </w:p>
        </w:tc>
        <w:tc>
          <w:tcPr>
            <w:tcW w:w="2883" w:type="dxa"/>
            <w:noWrap w:val="0"/>
            <w:vAlign w:val="center"/>
          </w:tcPr>
          <w:p>
            <w:pPr>
              <w:pageBreakBefore w:val="0"/>
              <w:kinsoku/>
              <w:wordWrap w:val="0"/>
              <w:overflowPunct/>
              <w:topLinePunct/>
              <w:autoSpaceDE/>
              <w:autoSpaceDN/>
              <w:bidi w:val="0"/>
              <w:snapToGrid w:val="0"/>
              <w:spacing w:line="40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是否允许响应人将项目非主体、非关键性工作交由他人完成</w:t>
            </w:r>
          </w:p>
        </w:tc>
        <w:tc>
          <w:tcPr>
            <w:tcW w:w="6362" w:type="dxa"/>
            <w:noWrap w:val="0"/>
            <w:vAlign w:val="center"/>
          </w:tcPr>
          <w:p>
            <w:pPr>
              <w:pageBreakBefore w:val="0"/>
              <w:kinsoku/>
              <w:wordWrap w:val="0"/>
              <w:overflowPunct/>
              <w:topLinePunct/>
              <w:autoSpaceDE/>
              <w:autoSpaceDN/>
              <w:bidi w:val="0"/>
              <w:snapToGrid w:val="0"/>
              <w:spacing w:line="400" w:lineRule="exact"/>
              <w:jc w:val="left"/>
              <w:textAlignment w:val="auto"/>
              <w:rPr>
                <w:rFonts w:hint="eastAsia" w:ascii="宋体" w:hAnsi="宋体" w:eastAsia="宋体" w:cs="宋体"/>
                <w:sz w:val="21"/>
                <w:szCs w:val="21"/>
                <w:lang w:val="zh-CN"/>
              </w:rPr>
            </w:pPr>
            <w:r>
              <w:rPr>
                <w:rFonts w:hint="eastAsia" w:ascii="宋体" w:hAnsi="宋体" w:eastAsia="宋体" w:cs="宋体"/>
                <w:sz w:val="21"/>
                <w:szCs w:val="21"/>
              </w:rPr>
              <w:t xml:space="preserve">■  </w:t>
            </w:r>
            <w:r>
              <w:rPr>
                <w:rFonts w:hint="eastAsia" w:ascii="宋体" w:hAnsi="宋体" w:eastAsia="宋体" w:cs="宋体"/>
                <w:sz w:val="21"/>
                <w:szCs w:val="21"/>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16</w:t>
            </w:r>
          </w:p>
        </w:tc>
        <w:tc>
          <w:tcPr>
            <w:tcW w:w="2883" w:type="dxa"/>
            <w:noWrap w:val="0"/>
            <w:vAlign w:val="center"/>
          </w:tcPr>
          <w:p>
            <w:pPr>
              <w:pageBreakBefore w:val="0"/>
              <w:kinsoku/>
              <w:wordWrap w:val="0"/>
              <w:overflowPunct/>
              <w:topLinePunct/>
              <w:autoSpaceDE/>
              <w:autoSpaceDN/>
              <w:bidi w:val="0"/>
              <w:snapToGrid w:val="0"/>
              <w:spacing w:line="400" w:lineRule="exact"/>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谈判报价次数</w:t>
            </w:r>
          </w:p>
        </w:tc>
        <w:tc>
          <w:tcPr>
            <w:tcW w:w="6362" w:type="dxa"/>
            <w:noWrap w:val="0"/>
            <w:vAlign w:val="center"/>
          </w:tcPr>
          <w:p>
            <w:pPr>
              <w:pageBreakBefore w:val="0"/>
              <w:kinsoku/>
              <w:wordWrap w:val="0"/>
              <w:overflowPunct/>
              <w:topLinePunct/>
              <w:autoSpaceDE/>
              <w:autoSpaceDN/>
              <w:bidi w:val="0"/>
              <w:snapToGrid w:val="0"/>
              <w:spacing w:line="400" w:lineRule="exact"/>
              <w:textAlignment w:val="auto"/>
              <w:rPr>
                <w:rFonts w:hint="eastAsia" w:ascii="宋体" w:hAnsi="宋体" w:eastAsia="宋体" w:cs="宋体"/>
                <w:sz w:val="21"/>
                <w:szCs w:val="21"/>
                <w:lang w:val="zh-CN"/>
              </w:rPr>
            </w:pPr>
            <w:r>
              <w:rPr>
                <w:rFonts w:hint="eastAsia" w:ascii="宋体" w:hAnsi="宋体" w:eastAsia="宋体" w:cs="宋体"/>
                <w:bCs/>
                <w:sz w:val="21"/>
                <w:szCs w:val="21"/>
              </w:rPr>
              <w:t>*</w:t>
            </w:r>
            <w:r>
              <w:rPr>
                <w:rFonts w:hint="eastAsia" w:ascii="宋体" w:hAnsi="宋体" w:eastAsia="宋体" w:cs="宋体"/>
                <w:b w:val="0"/>
                <w:bCs/>
                <w:color w:val="0000FF"/>
                <w:sz w:val="21"/>
                <w:szCs w:val="21"/>
                <w:u w:val="single"/>
                <w:lang w:val="zh-CN"/>
              </w:rPr>
              <w:t>本项目采用二轮报价，响应文件中书面报价为首轮报价（不公开），第二轮报价不得超过首轮报价，第二轮报价即为最终报价；否则作无效报价文件处理。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17</w:t>
            </w:r>
          </w:p>
        </w:tc>
        <w:tc>
          <w:tcPr>
            <w:tcW w:w="2883"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响应有效期</w:t>
            </w:r>
          </w:p>
        </w:tc>
        <w:tc>
          <w:tcPr>
            <w:tcW w:w="6362" w:type="dxa"/>
            <w:noWrap w:val="0"/>
            <w:vAlign w:val="center"/>
          </w:tcPr>
          <w:p>
            <w:pPr>
              <w:pageBreakBefore w:val="0"/>
              <w:kinsoku/>
              <w:wordWrap w:val="0"/>
              <w:overflowPunct/>
              <w:topLinePunct/>
              <w:autoSpaceDE/>
              <w:autoSpaceDN/>
              <w:bidi w:val="0"/>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b/>
                <w:bCs w:val="0"/>
                <w:color w:val="0000FF"/>
                <w:sz w:val="21"/>
                <w:szCs w:val="21"/>
                <w:u w:val="single"/>
              </w:rPr>
              <w:t xml:space="preserve">120 </w:t>
            </w:r>
            <w:r>
              <w:rPr>
                <w:rFonts w:hint="eastAsia" w:ascii="宋体" w:hAnsi="宋体" w:eastAsia="宋体" w:cs="宋体"/>
                <w:sz w:val="21"/>
                <w:szCs w:val="21"/>
              </w:rPr>
              <w:t>日历天（从开标日起计算）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18</w:t>
            </w:r>
          </w:p>
        </w:tc>
        <w:tc>
          <w:tcPr>
            <w:tcW w:w="2883" w:type="dxa"/>
            <w:noWrap w:val="0"/>
            <w:vAlign w:val="center"/>
          </w:tcPr>
          <w:p>
            <w:pPr>
              <w:pageBreakBefore w:val="0"/>
              <w:kinsoku/>
              <w:wordWrap w:val="0"/>
              <w:overflowPunct/>
              <w:topLinePunct/>
              <w:autoSpaceDE/>
              <w:autoSpaceDN/>
              <w:bidi w:val="0"/>
              <w:spacing w:line="28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是否收取履约保证金</w:t>
            </w:r>
          </w:p>
        </w:tc>
        <w:tc>
          <w:tcPr>
            <w:tcW w:w="6362" w:type="dxa"/>
            <w:noWrap w:val="0"/>
            <w:vAlign w:val="center"/>
          </w:tcPr>
          <w:p>
            <w:pPr>
              <w:pageBreakBefore w:val="0"/>
              <w:kinsoku/>
              <w:wordWrap w:val="0"/>
              <w:overflowPunct/>
              <w:topLinePunct/>
              <w:autoSpaceDE/>
              <w:autoSpaceDN/>
              <w:bidi w:val="0"/>
              <w:spacing w:line="400" w:lineRule="exact"/>
              <w:textAlignment w:val="auto"/>
              <w:rPr>
                <w:rFonts w:hint="eastAsia" w:ascii="宋体" w:hAnsi="宋体" w:eastAsia="宋体" w:cs="宋体"/>
                <w:bCs/>
                <w:sz w:val="21"/>
                <w:szCs w:val="21"/>
              </w:rPr>
            </w:pPr>
            <w:r>
              <w:rPr>
                <w:rFonts w:hint="eastAsia" w:ascii="宋体" w:hAnsi="宋体" w:eastAsia="宋体" w:cs="宋体"/>
                <w:sz w:val="21"/>
                <w:szCs w:val="21"/>
              </w:rPr>
              <w:t xml:space="preserve">■  </w:t>
            </w:r>
            <w:r>
              <w:rPr>
                <w:rFonts w:hint="eastAsia" w:ascii="宋体" w:hAnsi="宋体" w:eastAsia="宋体" w:cs="宋体"/>
                <w:b/>
                <w:bCs w:val="0"/>
                <w:color w:val="0000FF"/>
                <w:sz w:val="21"/>
                <w:szCs w:val="21"/>
                <w:u w:val="single"/>
              </w:rPr>
              <w:t>是</w:t>
            </w:r>
            <w:r>
              <w:rPr>
                <w:rFonts w:hint="eastAsia" w:ascii="宋体" w:hAnsi="宋体" w:eastAsia="宋体" w:cs="宋体"/>
                <w:bCs/>
                <w:sz w:val="21"/>
                <w:szCs w:val="21"/>
              </w:rPr>
              <w:t>，成交供应商在合同签订前，向采购人提供</w:t>
            </w:r>
            <w:r>
              <w:rPr>
                <w:rFonts w:hint="eastAsia" w:ascii="宋体" w:hAnsi="宋体" w:eastAsia="宋体" w:cs="宋体"/>
                <w:b/>
                <w:bCs w:val="0"/>
                <w:color w:val="0000FF"/>
                <w:sz w:val="21"/>
                <w:szCs w:val="21"/>
                <w:u w:val="single"/>
              </w:rPr>
              <w:t>中标价（扣除暂列金额）的</w:t>
            </w:r>
            <w:r>
              <w:rPr>
                <w:rFonts w:hint="eastAsia" w:ascii="宋体" w:hAnsi="宋体" w:eastAsia="宋体" w:cs="宋体"/>
                <w:b/>
                <w:bCs w:val="0"/>
                <w:color w:val="0000FF"/>
                <w:sz w:val="21"/>
                <w:szCs w:val="21"/>
                <w:u w:val="single"/>
                <w:lang w:val="en-US" w:eastAsia="zh-CN"/>
              </w:rPr>
              <w:t>5</w:t>
            </w:r>
            <w:r>
              <w:rPr>
                <w:rFonts w:hint="eastAsia" w:ascii="宋体" w:hAnsi="宋体" w:eastAsia="宋体" w:cs="宋体"/>
                <w:b/>
                <w:bCs w:val="0"/>
                <w:color w:val="0000FF"/>
                <w:sz w:val="21"/>
                <w:szCs w:val="21"/>
                <w:u w:val="single"/>
              </w:rPr>
              <w:t>%</w:t>
            </w:r>
            <w:r>
              <w:rPr>
                <w:rFonts w:hint="eastAsia" w:ascii="宋体" w:hAnsi="宋体" w:eastAsia="宋体" w:cs="宋体"/>
                <w:bCs/>
                <w:sz w:val="21"/>
                <w:szCs w:val="21"/>
              </w:rPr>
              <w:t>的履约保证金（</w:t>
            </w:r>
            <w:r>
              <w:rPr>
                <w:rFonts w:hint="eastAsia" w:ascii="宋体" w:hAnsi="宋体" w:eastAsia="宋体" w:cs="宋体"/>
                <w:b/>
                <w:bCs w:val="0"/>
                <w:color w:val="0000FF"/>
                <w:sz w:val="21"/>
                <w:szCs w:val="21"/>
                <w:u w:val="single"/>
              </w:rPr>
              <w:t>以现金或银行保函形式</w:t>
            </w:r>
            <w:r>
              <w:rPr>
                <w:rFonts w:hint="eastAsia" w:ascii="宋体" w:hAnsi="宋体" w:eastAsia="宋体" w:cs="宋体"/>
                <w:bCs/>
                <w:sz w:val="21"/>
                <w:szCs w:val="21"/>
              </w:rPr>
              <w:t>），采购人将在终验完毕后返还乙方履约保证金；</w:t>
            </w:r>
          </w:p>
          <w:p>
            <w:pPr>
              <w:pageBreakBefore w:val="0"/>
              <w:kinsoku/>
              <w:wordWrap w:val="0"/>
              <w:overflowPunct/>
              <w:topLinePunct/>
              <w:autoSpaceDE/>
              <w:autoSpaceDN/>
              <w:bidi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招标人指定账户：</w:t>
            </w:r>
          </w:p>
          <w:p>
            <w:pPr>
              <w:pageBreakBefore w:val="0"/>
              <w:kinsoku/>
              <w:wordWrap w:val="0"/>
              <w:overflowPunct/>
              <w:topLinePunct/>
              <w:autoSpaceDE/>
              <w:autoSpaceDN/>
              <w:bidi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收款单位：常州市金坛区直溪镇人民政府</w:t>
            </w:r>
          </w:p>
          <w:p>
            <w:pPr>
              <w:pageBreakBefore w:val="0"/>
              <w:kinsoku/>
              <w:wordWrap w:val="0"/>
              <w:overflowPunct/>
              <w:topLinePunct/>
              <w:autoSpaceDE/>
              <w:autoSpaceDN/>
              <w:bidi w:val="0"/>
              <w:spacing w:line="40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帐号：8423204222901201000010809</w:t>
            </w:r>
          </w:p>
          <w:p>
            <w:pPr>
              <w:pageBreakBefore w:val="0"/>
              <w:kinsoku/>
              <w:wordWrap w:val="0"/>
              <w:overflowPunct/>
              <w:topLinePunct/>
              <w:autoSpaceDE/>
              <w:autoSpaceDN/>
              <w:bidi w:val="0"/>
              <w:spacing w:line="400" w:lineRule="exact"/>
              <w:textAlignment w:val="auto"/>
              <w:rPr>
                <w:rFonts w:hint="eastAsia" w:ascii="宋体" w:hAnsi="宋体" w:eastAsia="宋体" w:cs="宋体"/>
                <w:bCs/>
                <w:sz w:val="21"/>
                <w:szCs w:val="21"/>
              </w:rPr>
            </w:pPr>
            <w:r>
              <w:rPr>
                <w:rFonts w:hint="eastAsia" w:ascii="宋体" w:hAnsi="宋体" w:eastAsia="宋体" w:cs="宋体"/>
                <w:sz w:val="21"/>
                <w:szCs w:val="21"/>
              </w:rPr>
              <w:t>开户行：江南农商行直溪支行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19</w:t>
            </w:r>
          </w:p>
        </w:tc>
        <w:tc>
          <w:tcPr>
            <w:tcW w:w="2883" w:type="dxa"/>
            <w:noWrap w:val="0"/>
            <w:vAlign w:val="center"/>
          </w:tcPr>
          <w:p>
            <w:pPr>
              <w:pageBreakBefore w:val="0"/>
              <w:kinsoku/>
              <w:wordWrap w:val="0"/>
              <w:overflowPunct/>
              <w:topLinePunct/>
              <w:autoSpaceDE/>
              <w:autoSpaceDN/>
              <w:bidi w:val="0"/>
              <w:snapToGrid w:val="0"/>
              <w:jc w:val="center"/>
              <w:textAlignment w:val="auto"/>
              <w:rPr>
                <w:rFonts w:hint="eastAsia" w:ascii="宋体" w:hAnsi="宋体" w:eastAsia="宋体" w:cs="宋体"/>
                <w:sz w:val="21"/>
                <w:szCs w:val="21"/>
              </w:rPr>
            </w:pPr>
            <w:r>
              <w:rPr>
                <w:rFonts w:hint="eastAsia" w:ascii="宋体" w:hAnsi="宋体" w:eastAsia="宋体" w:cs="宋体"/>
                <w:sz w:val="21"/>
                <w:szCs w:val="21"/>
              </w:rPr>
              <w:t>中小微企业有关政策</w:t>
            </w:r>
          </w:p>
        </w:tc>
        <w:tc>
          <w:tcPr>
            <w:tcW w:w="6362" w:type="dxa"/>
            <w:noWrap w:val="0"/>
            <w:vAlign w:val="center"/>
          </w:tcPr>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bCs/>
                <w:color w:val="0000FF"/>
                <w:sz w:val="21"/>
                <w:szCs w:val="21"/>
              </w:rPr>
            </w:pPr>
            <w:r>
              <w:rPr>
                <w:rFonts w:hint="eastAsia" w:ascii="宋体" w:hAnsi="宋体" w:eastAsia="宋体" w:cs="宋体"/>
                <w:bCs/>
                <w:color w:val="0000FF"/>
                <w:sz w:val="21"/>
                <w:szCs w:val="21"/>
              </w:rPr>
              <w:t>19.1本项目属于</w:t>
            </w:r>
            <w:r>
              <w:rPr>
                <w:rFonts w:hint="eastAsia" w:ascii="宋体" w:hAnsi="宋体" w:eastAsia="宋体" w:cs="宋体"/>
                <w:b/>
                <w:color w:val="FF0000"/>
                <w:sz w:val="21"/>
                <w:szCs w:val="21"/>
                <w:u w:val="single"/>
              </w:rPr>
              <w:t>工程类</w:t>
            </w:r>
            <w:r>
              <w:rPr>
                <w:rFonts w:hint="eastAsia" w:ascii="宋体" w:hAnsi="宋体" w:eastAsia="宋体" w:cs="宋体"/>
                <w:bCs/>
                <w:color w:val="0000FF"/>
                <w:sz w:val="21"/>
                <w:szCs w:val="21"/>
              </w:rPr>
              <w:t>，采购标的对应的中小企业划分标准属于</w:t>
            </w:r>
            <w:r>
              <w:rPr>
                <w:rFonts w:hint="eastAsia" w:ascii="宋体" w:hAnsi="宋体" w:eastAsia="宋体" w:cs="宋体"/>
                <w:b/>
                <w:color w:val="FF0000"/>
                <w:sz w:val="21"/>
                <w:szCs w:val="21"/>
                <w:highlight w:val="yellow"/>
                <w:u w:val="single"/>
              </w:rPr>
              <w:t>建筑业</w:t>
            </w:r>
            <w:r>
              <w:rPr>
                <w:rFonts w:hint="eastAsia" w:ascii="宋体" w:hAnsi="宋体" w:eastAsia="宋体" w:cs="宋体"/>
                <w:b/>
                <w:color w:val="0000FF"/>
                <w:sz w:val="21"/>
                <w:szCs w:val="21"/>
              </w:rPr>
              <w:t>行业</w:t>
            </w:r>
            <w:r>
              <w:rPr>
                <w:rFonts w:hint="eastAsia" w:ascii="宋体" w:hAnsi="宋体" w:eastAsia="宋体" w:cs="宋体"/>
                <w:bCs/>
                <w:color w:val="0000FF"/>
                <w:sz w:val="21"/>
                <w:szCs w:val="21"/>
              </w:rPr>
              <w:t>【《关于印发中小企业划型标准规定的通知》（工信部联企业〔2011〕300号）】，按照本次采购标的所属行业的划型标准，符合条件的中小企业应按照询价文件格式要求提供</w:t>
            </w:r>
            <w:r>
              <w:rPr>
                <w:rFonts w:hint="eastAsia" w:ascii="宋体" w:hAnsi="宋体" w:eastAsia="宋体" w:cs="宋体"/>
                <w:b/>
                <w:color w:val="FF0000"/>
                <w:sz w:val="21"/>
                <w:szCs w:val="21"/>
                <w:highlight w:val="yellow"/>
                <w:u w:val="single"/>
              </w:rPr>
              <w:t>《中小企业声明函（工程、服务）》</w:t>
            </w:r>
            <w:r>
              <w:rPr>
                <w:rFonts w:hint="eastAsia" w:ascii="宋体" w:hAnsi="宋体" w:eastAsia="宋体" w:cs="宋体"/>
                <w:bCs/>
                <w:color w:val="0000FF"/>
                <w:sz w:val="21"/>
                <w:szCs w:val="21"/>
                <w:highlight w:val="yellow"/>
              </w:rPr>
              <w:t>。</w:t>
            </w:r>
            <w:r>
              <w:rPr>
                <w:rFonts w:hint="eastAsia" w:ascii="宋体" w:hAnsi="宋体" w:eastAsia="宋体" w:cs="宋体"/>
                <w:bCs/>
                <w:color w:val="0000FF"/>
                <w:sz w:val="21"/>
                <w:szCs w:val="21"/>
              </w:rPr>
              <w:t>请正确填写中小企业申明函（工程、服务），未填报或缺项、漏项则报价不做相应扣除。提交中小企业声明函并中标的，随中标公告一同公示。</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19.2根据财库〔2020〕46号财政部、工业和信息化部关于印发《政府采购促进中小企业发展管理办法》的通知，按照《政府采购促进中小企业发展管理办法》第四条要求，在政府采购活动中，供应商提供的货物符合下列情形的，享受本办法规定的中小企业扶持</w:t>
            </w:r>
          </w:p>
          <w:p>
            <w:pPr>
              <w:pageBreakBefore w:val="0"/>
              <w:kinsoku/>
              <w:wordWrap w:val="0"/>
              <w:overflowPunct/>
              <w:topLinePunct/>
              <w:autoSpaceDE/>
              <w:autoSpaceDN/>
              <w:bidi w:val="0"/>
              <w:spacing w:line="400" w:lineRule="exac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政策：（一）</w:t>
            </w:r>
            <w:r>
              <w:rPr>
                <w:rFonts w:hint="eastAsia" w:ascii="宋体" w:hAnsi="宋体" w:eastAsia="宋体" w:cs="宋体"/>
                <w:bCs/>
                <w:color w:val="0000FF"/>
                <w:sz w:val="21"/>
                <w:szCs w:val="21"/>
              </w:rPr>
              <w:t>在工程采购项目中，工程由中小企业承建，即工程施工单位为中小企业，</w:t>
            </w:r>
            <w:r>
              <w:rPr>
                <w:rFonts w:hint="eastAsia" w:ascii="宋体" w:hAnsi="宋体" w:eastAsia="宋体" w:cs="宋体"/>
                <w:bCs/>
                <w:color w:val="000000"/>
                <w:sz w:val="21"/>
                <w:szCs w:val="21"/>
              </w:rPr>
              <w:t>对于符合条件的</w:t>
            </w:r>
            <w:r>
              <w:rPr>
                <w:rFonts w:hint="eastAsia" w:ascii="宋体" w:hAnsi="宋体" w:eastAsia="宋体" w:cs="宋体"/>
                <w:b/>
                <w:color w:val="FF0000"/>
                <w:sz w:val="21"/>
                <w:szCs w:val="21"/>
                <w:highlight w:val="yellow"/>
                <w:u w:val="single"/>
              </w:rPr>
              <w:t>小型和微型企业</w:t>
            </w:r>
            <w:r>
              <w:rPr>
                <w:rFonts w:hint="eastAsia" w:ascii="宋体" w:hAnsi="宋体" w:eastAsia="宋体" w:cs="宋体"/>
                <w:bCs/>
                <w:color w:val="000000"/>
                <w:sz w:val="21"/>
                <w:szCs w:val="21"/>
              </w:rPr>
              <w:t>报价给予</w:t>
            </w:r>
            <w:r>
              <w:rPr>
                <w:rFonts w:hint="eastAsia" w:ascii="宋体" w:hAnsi="宋体" w:eastAsia="宋体" w:cs="宋体"/>
                <w:b/>
                <w:color w:val="FF0000"/>
                <w:sz w:val="21"/>
                <w:szCs w:val="21"/>
                <w:highlight w:val="yellow"/>
                <w:u w:val="single"/>
                <w:lang w:val="en-US" w:eastAsia="zh-CN"/>
              </w:rPr>
              <w:t>5</w:t>
            </w:r>
            <w:r>
              <w:rPr>
                <w:rFonts w:hint="eastAsia" w:ascii="宋体" w:hAnsi="宋体" w:eastAsia="宋体" w:cs="宋体"/>
                <w:b/>
                <w:color w:val="FF0000"/>
                <w:sz w:val="21"/>
                <w:szCs w:val="21"/>
                <w:highlight w:val="yellow"/>
                <w:u w:val="single"/>
              </w:rPr>
              <w:t>%</w:t>
            </w:r>
            <w:r>
              <w:rPr>
                <w:rFonts w:hint="eastAsia" w:ascii="宋体" w:hAnsi="宋体" w:eastAsia="宋体" w:cs="宋体"/>
                <w:bCs/>
                <w:color w:val="000000"/>
                <w:sz w:val="21"/>
                <w:szCs w:val="21"/>
              </w:rPr>
              <w:t>的扣除，用扣除后的价格参与评审。属于残疾人福利性单位、监狱企业的视同小微企业，给予价格扣除。供应商需按照谈判文件的要求提供相应的</w:t>
            </w:r>
            <w:r>
              <w:rPr>
                <w:rFonts w:hint="eastAsia" w:ascii="宋体" w:hAnsi="宋体" w:eastAsia="宋体" w:cs="宋体"/>
                <w:b/>
                <w:color w:val="FF0000"/>
                <w:sz w:val="21"/>
                <w:szCs w:val="21"/>
                <w:highlight w:val="yellow"/>
                <w:u w:val="single"/>
              </w:rPr>
              <w:t>《中小企业声明函（工程、服务）》，</w:t>
            </w:r>
            <w:r>
              <w:rPr>
                <w:rFonts w:hint="eastAsia" w:ascii="宋体" w:hAnsi="宋体" w:eastAsia="宋体" w:cs="宋体"/>
                <w:bCs/>
                <w:sz w:val="21"/>
                <w:szCs w:val="21"/>
                <w:u w:val="single"/>
              </w:rPr>
              <w:t>请正确填写中小企业申明函（工程、服务），</w:t>
            </w:r>
            <w:r>
              <w:rPr>
                <w:rFonts w:hint="eastAsia" w:ascii="宋体" w:hAnsi="宋体" w:eastAsia="宋体" w:cs="宋体"/>
                <w:bCs/>
                <w:color w:val="000000"/>
                <w:sz w:val="21"/>
                <w:szCs w:val="21"/>
              </w:rPr>
              <w:t>如填写错误或未填报或缺项、漏项则报价不做相应扣除。否则不予价格扣除。</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bCs/>
                <w:color w:val="000000"/>
                <w:sz w:val="21"/>
                <w:szCs w:val="21"/>
              </w:rPr>
              <w:t>19.3以上规定未尽事项，按《政府采购促进中小企业发展管理办法》、《关于促进残疾人就业政府采购政策的通知》、《关于政府采购支持监狱企业发展有关问题的通知》等有关制度规定执行。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w:t>
            </w:r>
          </w:p>
        </w:tc>
        <w:tc>
          <w:tcPr>
            <w:tcW w:w="2883" w:type="dxa"/>
            <w:noWrap w:val="0"/>
            <w:vAlign w:val="center"/>
          </w:tcPr>
          <w:p>
            <w:pPr>
              <w:pageBreakBefore w:val="0"/>
              <w:kinsoku/>
              <w:wordWrap w:val="0"/>
              <w:overflowPunct/>
              <w:topLinePunct/>
              <w:autoSpaceDE/>
              <w:autoSpaceDN/>
              <w:bidi w:val="0"/>
              <w:snapToGrid w:val="0"/>
              <w:jc w:val="center"/>
              <w:textAlignment w:val="auto"/>
              <w:rPr>
                <w:rFonts w:hint="eastAsia" w:ascii="宋体" w:hAnsi="宋体" w:eastAsia="宋体" w:cs="宋体"/>
                <w:sz w:val="21"/>
                <w:szCs w:val="21"/>
              </w:rPr>
            </w:pPr>
            <w:r>
              <w:rPr>
                <w:rFonts w:hint="eastAsia" w:ascii="宋体" w:hAnsi="宋体" w:eastAsia="宋体" w:cs="宋体"/>
                <w:sz w:val="21"/>
                <w:szCs w:val="21"/>
              </w:rPr>
              <w:t>信用记录查询</w:t>
            </w:r>
          </w:p>
        </w:tc>
        <w:tc>
          <w:tcPr>
            <w:tcW w:w="6362" w:type="dxa"/>
            <w:noWrap w:val="0"/>
            <w:vAlign w:val="center"/>
          </w:tcPr>
          <w:p>
            <w:pPr>
              <w:pageBreakBefore w:val="0"/>
              <w:kinsoku/>
              <w:wordWrap w:val="0"/>
              <w:overflowPunct/>
              <w:topLinePunct/>
              <w:autoSpaceDE/>
              <w:autoSpaceDN/>
              <w:bidi w:val="0"/>
              <w:snapToGrid w:val="0"/>
              <w:spacing w:line="360" w:lineRule="auto"/>
              <w:textAlignment w:val="auto"/>
              <w:rPr>
                <w:rFonts w:hint="eastAsia" w:ascii="宋体" w:hAnsi="宋体" w:eastAsia="宋体" w:cs="宋体"/>
                <w:sz w:val="21"/>
                <w:szCs w:val="21"/>
              </w:rPr>
            </w:pPr>
            <w:r>
              <w:rPr>
                <w:rFonts w:hint="eastAsia" w:ascii="宋体" w:hAnsi="宋体" w:eastAsia="宋体" w:cs="宋体"/>
                <w:bCs/>
                <w:sz w:val="21"/>
                <w:szCs w:val="21"/>
              </w:rPr>
              <w:t>项目评审组织人员于资格审查时通过“信用中国”网站(www.creditchina.gov.cn)、中国政府采购网(www.ccgp.gov.cn)渠道查询响应人信用记录，经查询列入失信被执行人、重大税收违法案件当事人名单、政府采购严重违法失信行为记录名单，其投标作无效报价文件处理，无效响应人的信用记录查询结果截图将作为项目材料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21</w:t>
            </w:r>
          </w:p>
        </w:tc>
        <w:tc>
          <w:tcPr>
            <w:tcW w:w="2883" w:type="dxa"/>
            <w:noWrap w:val="0"/>
            <w:vAlign w:val="center"/>
          </w:tcPr>
          <w:p>
            <w:pPr>
              <w:pageBreakBefore w:val="0"/>
              <w:kinsoku/>
              <w:wordWrap w:val="0"/>
              <w:overflowPunct/>
              <w:topLinePunct/>
              <w:autoSpaceDE/>
              <w:autoSpaceDN/>
              <w:bidi w:val="0"/>
              <w:snapToGrid w:val="0"/>
              <w:jc w:val="center"/>
              <w:textAlignment w:val="auto"/>
              <w:rPr>
                <w:rFonts w:hint="eastAsia" w:ascii="宋体" w:hAnsi="宋体" w:eastAsia="宋体" w:cs="宋体"/>
                <w:sz w:val="21"/>
                <w:szCs w:val="21"/>
              </w:rPr>
            </w:pPr>
            <w:r>
              <w:rPr>
                <w:rFonts w:hint="eastAsia" w:ascii="宋体" w:hAnsi="宋体" w:eastAsia="宋体" w:cs="宋体"/>
                <w:sz w:val="21"/>
                <w:szCs w:val="21"/>
              </w:rPr>
              <w:t>采购资金的支付方式、时间、条件</w:t>
            </w:r>
          </w:p>
        </w:tc>
        <w:tc>
          <w:tcPr>
            <w:tcW w:w="6362" w:type="dxa"/>
            <w:noWrap w:val="0"/>
            <w:vAlign w:val="center"/>
          </w:tcPr>
          <w:p>
            <w:pPr>
              <w:pageBreakBefore w:val="0"/>
              <w:kinsoku/>
              <w:wordWrap w:val="0"/>
              <w:overflowPunct/>
              <w:topLinePunct/>
              <w:autoSpaceDE/>
              <w:autoSpaceDN/>
              <w:bidi w:val="0"/>
              <w:snapToGrid w:val="0"/>
              <w:textAlignment w:val="auto"/>
              <w:rPr>
                <w:rFonts w:hint="eastAsia" w:ascii="宋体" w:hAnsi="宋体" w:eastAsia="宋体" w:cs="宋体"/>
                <w:sz w:val="21"/>
                <w:szCs w:val="21"/>
              </w:rPr>
            </w:pPr>
            <w:r>
              <w:rPr>
                <w:rFonts w:hint="eastAsia" w:ascii="宋体" w:hAnsi="宋体" w:eastAsia="宋体" w:cs="宋体"/>
                <w:sz w:val="21"/>
                <w:szCs w:val="21"/>
              </w:rPr>
              <w:t>详见成交合同主要条款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67" w:type="dxa"/>
            <w:noWrap w:val="0"/>
            <w:vAlign w:val="center"/>
          </w:tcPr>
          <w:p>
            <w:pPr>
              <w:pageBreakBefore w:val="0"/>
              <w:kinsoku/>
              <w:wordWrap w:val="0"/>
              <w:overflowPunct/>
              <w:topLinePunct/>
              <w:autoSpaceDE/>
              <w:autoSpaceDN/>
              <w:bidi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22</w:t>
            </w:r>
          </w:p>
        </w:tc>
        <w:tc>
          <w:tcPr>
            <w:tcW w:w="2883" w:type="dxa"/>
            <w:noWrap w:val="0"/>
            <w:vAlign w:val="center"/>
          </w:tcPr>
          <w:p>
            <w:pPr>
              <w:pageBreakBefore w:val="0"/>
              <w:kinsoku/>
              <w:wordWrap w:val="0"/>
              <w:overflowPunct/>
              <w:topLinePunct/>
              <w:autoSpaceDE/>
              <w:autoSpaceDN/>
              <w:bidi w:val="0"/>
              <w:snapToGrid w:val="0"/>
              <w:jc w:val="center"/>
              <w:textAlignment w:val="auto"/>
              <w:rPr>
                <w:rFonts w:hint="eastAsia" w:ascii="宋体" w:hAnsi="宋体" w:eastAsia="宋体" w:cs="宋体"/>
                <w:sz w:val="21"/>
                <w:szCs w:val="21"/>
              </w:rPr>
            </w:pPr>
            <w:r>
              <w:rPr>
                <w:rFonts w:hint="eastAsia" w:ascii="宋体" w:hAnsi="宋体" w:eastAsia="宋体" w:cs="宋体"/>
                <w:sz w:val="21"/>
                <w:szCs w:val="21"/>
              </w:rPr>
              <w:t>其他</w:t>
            </w:r>
          </w:p>
        </w:tc>
        <w:tc>
          <w:tcPr>
            <w:tcW w:w="6362" w:type="dxa"/>
            <w:noWrap w:val="0"/>
            <w:vAlign w:val="center"/>
          </w:tcPr>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1、本项目技术服务费：5000元，由中标单位领取中标通知书时一次性支付给采购代理单位，投标人在投标时综合考虑在投标报价中。</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2、在评标过程中，如出现不响应谈判文件实质性条款的，招投标领导小组可以否决其投标。</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kern w:val="20"/>
                <w:sz w:val="21"/>
                <w:szCs w:val="21"/>
                <w:lang w:val="zh-CN"/>
              </w:rPr>
            </w:pPr>
            <w:r>
              <w:rPr>
                <w:rFonts w:hint="eastAsia" w:ascii="宋体" w:hAnsi="宋体" w:eastAsia="宋体" w:cs="宋体"/>
                <w:kern w:val="20"/>
                <w:sz w:val="21"/>
                <w:szCs w:val="21"/>
                <w:lang w:val="en-US" w:eastAsia="zh-CN"/>
              </w:rPr>
              <w:t>3、</w:t>
            </w:r>
            <w:r>
              <w:rPr>
                <w:rFonts w:hint="eastAsia" w:ascii="宋体" w:hAnsi="宋体" w:eastAsia="宋体" w:cs="宋体"/>
                <w:kern w:val="20"/>
                <w:sz w:val="21"/>
                <w:szCs w:val="21"/>
                <w:lang w:val="zh-CN"/>
              </w:rPr>
              <w:t>投标人的法定代表人或其授权委托人必须参加开标会，并在采购人按开标程序进行身份核验时，如法定代表人参加开标会，须手持法定代表人身份证明文件原件（除响应文件外另外单独提供一份）、本人第二代身份证原件</w:t>
            </w:r>
            <w:r>
              <w:rPr>
                <w:rFonts w:hint="eastAsia" w:ascii="宋体" w:hAnsi="宋体" w:eastAsia="宋体" w:cs="宋体"/>
                <w:kern w:val="20"/>
                <w:sz w:val="21"/>
                <w:szCs w:val="21"/>
                <w:lang w:val="en-US" w:eastAsia="zh-CN"/>
              </w:rPr>
              <w:t>及</w:t>
            </w:r>
            <w:r>
              <w:rPr>
                <w:rFonts w:hint="eastAsia" w:ascii="宋体" w:hAnsi="宋体" w:cs="宋体"/>
                <w:b/>
                <w:sz w:val="21"/>
                <w:szCs w:val="21"/>
              </w:rPr>
              <w:t>《疫情期间参与政府采购活动开评标人员健康信息登记表》</w:t>
            </w:r>
            <w:r>
              <w:rPr>
                <w:rFonts w:hint="eastAsia" w:ascii="宋体" w:hAnsi="宋体" w:eastAsia="宋体" w:cs="宋体"/>
                <w:kern w:val="20"/>
                <w:sz w:val="21"/>
                <w:szCs w:val="21"/>
                <w:lang w:val="zh-CN"/>
              </w:rPr>
              <w:t>；如授权委托人参加开标会，须手持法定代表人授权委托书原件（除响应文件外另外单独提供一份）、本人第二代身份证原件</w:t>
            </w:r>
            <w:r>
              <w:rPr>
                <w:rFonts w:hint="eastAsia" w:ascii="宋体" w:hAnsi="宋体" w:eastAsia="宋体" w:cs="宋体"/>
                <w:kern w:val="20"/>
                <w:sz w:val="21"/>
                <w:szCs w:val="21"/>
                <w:lang w:val="en-US" w:eastAsia="zh-CN"/>
              </w:rPr>
              <w:t>及</w:t>
            </w:r>
            <w:r>
              <w:rPr>
                <w:rFonts w:hint="eastAsia" w:ascii="宋体" w:hAnsi="宋体" w:cs="宋体"/>
                <w:b/>
                <w:sz w:val="21"/>
                <w:szCs w:val="21"/>
              </w:rPr>
              <w:t>《疫情期间参与政府采购活动开评标人员健康信息登记表》</w:t>
            </w:r>
            <w:r>
              <w:rPr>
                <w:rFonts w:hint="eastAsia" w:ascii="宋体" w:hAnsi="宋体" w:eastAsia="宋体" w:cs="宋体"/>
                <w:kern w:val="20"/>
                <w:sz w:val="21"/>
                <w:szCs w:val="21"/>
                <w:lang w:val="zh-CN"/>
              </w:rPr>
              <w:t>，否则采购人将拒绝其投标。</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以上参加人员在开标时间截止时有下列情形之一的，视为自动放弃投标处理，采购人不予受理：</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1）未到达开标现场的；</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2）未参加投标签到的；</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kern w:val="20"/>
                <w:sz w:val="21"/>
                <w:szCs w:val="21"/>
                <w:lang w:val="zh-CN"/>
              </w:rPr>
            </w:pPr>
            <w:r>
              <w:rPr>
                <w:rFonts w:hint="eastAsia" w:ascii="宋体" w:hAnsi="宋体" w:eastAsia="宋体" w:cs="宋体"/>
                <w:kern w:val="20"/>
                <w:sz w:val="21"/>
                <w:szCs w:val="21"/>
                <w:lang w:val="zh-CN"/>
              </w:rPr>
              <w:t>3）身份核验时未能提供身份证明等相关材料的；</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kern w:val="20"/>
                <w:sz w:val="21"/>
                <w:szCs w:val="21"/>
                <w:lang w:val="en-US" w:eastAsia="zh-CN"/>
              </w:rPr>
              <w:t>4、</w:t>
            </w:r>
            <w:r>
              <w:rPr>
                <w:rFonts w:hint="eastAsia" w:ascii="宋体" w:hAnsi="宋体" w:eastAsia="宋体" w:cs="宋体"/>
                <w:kern w:val="20"/>
                <w:sz w:val="21"/>
                <w:szCs w:val="21"/>
                <w:lang w:val="zh-CN"/>
              </w:rPr>
              <w:t>关于结算审核费：本工程结算审核的核减率控制在8%内（含8%）。如12%≥核减率＞8%时，审核费用承包人必须承担全部审计费用的一半；核减率＞12%时，该工程所有审计费均由承包人承担。上述费用不为累进制</w:t>
            </w:r>
            <w:r>
              <w:rPr>
                <w:rFonts w:hint="eastAsia" w:ascii="宋体" w:hAnsi="宋体" w:eastAsia="宋体" w:cs="宋体"/>
                <w:kern w:val="20"/>
                <w:sz w:val="21"/>
                <w:szCs w:val="21"/>
                <w:lang w:val="zh-CN" w:eastAsia="zh-CN"/>
              </w:rPr>
              <w:t>。</w:t>
            </w:r>
          </w:p>
        </w:tc>
      </w:tr>
      <w:bookmarkEnd w:id="0"/>
      <w:bookmarkEnd w:id="1"/>
    </w:tbl>
    <w:p>
      <w:pPr>
        <w:keepNext/>
        <w:pageBreakBefore w:val="0"/>
        <w:kinsoku/>
        <w:wordWrap w:val="0"/>
        <w:overflowPunct/>
        <w:topLinePunct/>
        <w:autoSpaceDE/>
        <w:autoSpaceDN/>
        <w:bidi w:val="0"/>
        <w:spacing w:line="400" w:lineRule="exact"/>
        <w:jc w:val="left"/>
        <w:textAlignment w:val="auto"/>
        <w:outlineLvl w:val="0"/>
        <w:rPr>
          <w:rFonts w:hint="eastAsia" w:ascii="宋体" w:hAnsi="宋体" w:cs="宋体"/>
          <w:b/>
          <w:bCs/>
          <w:szCs w:val="21"/>
        </w:rPr>
      </w:pPr>
      <w:bookmarkStart w:id="54" w:name="_Toc9012"/>
      <w:r>
        <w:rPr>
          <w:rFonts w:hint="eastAsia" w:ascii="宋体" w:hAnsi="宋体" w:cs="宋体"/>
          <w:b/>
          <w:bCs/>
          <w:szCs w:val="21"/>
        </w:rPr>
        <w:t>注：</w:t>
      </w:r>
      <w:bookmarkEnd w:id="54"/>
    </w:p>
    <w:p>
      <w:pPr>
        <w:keepNext/>
        <w:pageBreakBefore w:val="0"/>
        <w:kinsoku/>
        <w:wordWrap w:val="0"/>
        <w:overflowPunct/>
        <w:topLinePunct/>
        <w:autoSpaceDE/>
        <w:autoSpaceDN/>
        <w:bidi w:val="0"/>
        <w:spacing w:line="400" w:lineRule="exact"/>
        <w:jc w:val="left"/>
        <w:textAlignment w:val="auto"/>
        <w:outlineLvl w:val="0"/>
        <w:rPr>
          <w:rFonts w:hint="eastAsia" w:ascii="宋体" w:hAnsi="宋体" w:cs="宋体"/>
          <w:b/>
          <w:bCs/>
          <w:szCs w:val="21"/>
        </w:rPr>
      </w:pPr>
      <w:bookmarkStart w:id="55" w:name="_Toc1930"/>
      <w:r>
        <w:rPr>
          <w:rFonts w:hint="eastAsia" w:ascii="宋体" w:hAnsi="宋体" w:cs="宋体"/>
          <w:b/>
          <w:bCs/>
          <w:szCs w:val="21"/>
        </w:rPr>
        <w:t>1.上表中加 * 项目若有缺失或无效，投标将被拒绝或投标无效且不允许在开标后补正；</w:t>
      </w:r>
      <w:bookmarkEnd w:id="55"/>
      <w:r>
        <w:rPr>
          <w:rFonts w:hint="eastAsia" w:ascii="宋体" w:hAnsi="宋体" w:cs="宋体"/>
          <w:b/>
          <w:bCs/>
          <w:szCs w:val="21"/>
        </w:rPr>
        <w:t xml:space="preserve"> </w:t>
      </w:r>
    </w:p>
    <w:p>
      <w:pPr>
        <w:keepNext/>
        <w:pageBreakBefore w:val="0"/>
        <w:kinsoku/>
        <w:wordWrap w:val="0"/>
        <w:overflowPunct/>
        <w:topLinePunct/>
        <w:autoSpaceDE/>
        <w:autoSpaceDN/>
        <w:bidi w:val="0"/>
        <w:spacing w:line="400" w:lineRule="exact"/>
        <w:jc w:val="left"/>
        <w:textAlignment w:val="auto"/>
        <w:outlineLvl w:val="0"/>
        <w:rPr>
          <w:rFonts w:ascii="宋体" w:hAnsi="宋体" w:cs="宋体"/>
          <w:sz w:val="28"/>
          <w:szCs w:val="28"/>
        </w:rPr>
      </w:pPr>
      <w:bookmarkStart w:id="56" w:name="_Toc17578"/>
      <w:r>
        <w:rPr>
          <w:rFonts w:hint="eastAsia" w:ascii="宋体" w:hAnsi="宋体" w:cs="宋体"/>
          <w:b/>
          <w:bCs/>
          <w:szCs w:val="21"/>
        </w:rPr>
        <w:t>2.响应人须知前附表内容如与谈判文件其他部分不一致，以响应人须知前附表为准。</w:t>
      </w:r>
      <w:r>
        <w:rPr>
          <w:rFonts w:hint="eastAsia" w:ascii="宋体" w:hAnsi="宋体" w:cs="宋体"/>
          <w:sz w:val="32"/>
          <w:szCs w:val="32"/>
        </w:rPr>
        <w:br w:type="page"/>
      </w:r>
      <w:r>
        <w:rPr>
          <w:rFonts w:hint="eastAsia" w:ascii="宋体" w:hAnsi="宋体" w:cs="宋体"/>
          <w:sz w:val="32"/>
          <w:szCs w:val="32"/>
        </w:rPr>
        <w:t xml:space="preserve">                      </w:t>
      </w:r>
      <w:r>
        <w:rPr>
          <w:rFonts w:hint="eastAsia" w:ascii="宋体" w:hAnsi="宋体" w:cs="宋体"/>
          <w:b/>
          <w:bCs/>
          <w:sz w:val="28"/>
          <w:szCs w:val="28"/>
        </w:rPr>
        <w:t>第三部分 响应人须知</w:t>
      </w:r>
      <w:bookmarkEnd w:id="56"/>
    </w:p>
    <w:p>
      <w:pPr>
        <w:pStyle w:val="44"/>
        <w:pageBreakBefore w:val="0"/>
        <w:kinsoku/>
        <w:wordWrap w:val="0"/>
        <w:overflowPunct/>
        <w:topLinePunct/>
        <w:autoSpaceDE/>
        <w:autoSpaceDN/>
        <w:bidi w:val="0"/>
        <w:ind w:firstLine="0" w:firstLineChars="0"/>
        <w:textAlignment w:val="auto"/>
        <w:rPr>
          <w:rFonts w:ascii="微软雅黑" w:hAnsi="微软雅黑"/>
          <w:b/>
          <w:bCs/>
          <w:color w:val="auto"/>
        </w:rPr>
      </w:pPr>
      <w:r>
        <w:rPr>
          <w:rFonts w:hint="eastAsia" w:ascii="宋体" w:hAnsi="宋体" w:cs="宋体"/>
          <w:b/>
          <w:color w:val="auto"/>
          <w:szCs w:val="21"/>
        </w:rPr>
        <w:t>一、</w:t>
      </w:r>
      <w:r>
        <w:rPr>
          <w:rFonts w:hint="eastAsia" w:ascii="微软雅黑" w:hAnsi="微软雅黑"/>
          <w:b/>
          <w:bCs/>
          <w:color w:val="auto"/>
        </w:rPr>
        <w:t>定义</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1.1“采购人”指本项目的具体采购单位，名称详见</w:t>
      </w:r>
      <w:r>
        <w:rPr>
          <w:rFonts w:hint="eastAsia" w:ascii="宋体" w:hAnsi="宋体" w:cs="宋体"/>
          <w:b/>
          <w:szCs w:val="21"/>
        </w:rPr>
        <w:t>响应人须知前附表第1条</w:t>
      </w:r>
      <w:r>
        <w:rPr>
          <w:rFonts w:hint="eastAsia" w:ascii="宋体" w:hAnsi="宋体" w:cs="宋体"/>
          <w:bCs/>
          <w:szCs w:val="21"/>
        </w:rPr>
        <w:t>。</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1.2“招标货物”指本谈判文件中</w:t>
      </w:r>
      <w:r>
        <w:rPr>
          <w:rFonts w:hint="eastAsia" w:ascii="宋体" w:hAnsi="宋体" w:cs="宋体"/>
          <w:b/>
          <w:szCs w:val="21"/>
        </w:rPr>
        <w:t>第四部分</w:t>
      </w:r>
      <w:r>
        <w:rPr>
          <w:rFonts w:hint="eastAsia" w:ascii="宋体" w:hAnsi="宋体" w:cs="宋体"/>
          <w:bCs/>
          <w:szCs w:val="21"/>
        </w:rPr>
        <w:t>所述所有货物及实现货物功能价值所必须的配套技术和服务。</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1.3“服务”指本谈判文件</w:t>
      </w:r>
      <w:r>
        <w:rPr>
          <w:rFonts w:hint="eastAsia" w:ascii="宋体" w:hAnsi="宋体" w:cs="宋体"/>
          <w:b/>
          <w:szCs w:val="21"/>
        </w:rPr>
        <w:t>第四部分</w:t>
      </w:r>
      <w:r>
        <w:rPr>
          <w:rFonts w:hint="eastAsia" w:ascii="宋体" w:hAnsi="宋体" w:cs="宋体"/>
          <w:bCs/>
          <w:szCs w:val="21"/>
        </w:rPr>
        <w:t>所述响应人应该履行的承诺和义务。</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1.4“响应人”指符合本谈判文件规定并参加投标的供应商。</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1.5“潜在响应人”指符合本谈判文件各项规定的合格供应商。</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1.6 本谈判文件规定按日计算期间的，开始当天不计入，从次日开始计算。期限的最后一日是国家法定节假日的，顺延到节假日后的次日为期限的最后一日。</w:t>
      </w:r>
    </w:p>
    <w:p>
      <w:pPr>
        <w:pageBreakBefore w:val="0"/>
        <w:kinsoku/>
        <w:wordWrap w:val="0"/>
        <w:overflowPunct/>
        <w:topLinePunct/>
        <w:autoSpaceDE/>
        <w:autoSpaceDN/>
        <w:bidi w:val="0"/>
        <w:spacing w:line="400" w:lineRule="exact"/>
        <w:textAlignment w:val="auto"/>
        <w:rPr>
          <w:rFonts w:hint="eastAsia" w:ascii="宋体" w:hAnsi="宋体" w:cs="宋体"/>
          <w:b/>
          <w:szCs w:val="21"/>
        </w:rPr>
      </w:pPr>
      <w:r>
        <w:rPr>
          <w:rFonts w:hint="eastAsia" w:ascii="宋体" w:hAnsi="宋体" w:cs="宋体"/>
          <w:b/>
          <w:szCs w:val="21"/>
        </w:rPr>
        <w:t>二、合格响应人的条件</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2.1具有本项目实施能力，符合、承认并承诺履行本谈判文件各项规定的国内供应商均可参加投标。</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bCs/>
          <w:szCs w:val="21"/>
        </w:rPr>
        <w:t>2.2</w:t>
      </w:r>
      <w:r>
        <w:rPr>
          <w:rFonts w:hint="eastAsia" w:ascii="宋体" w:hAnsi="宋体" w:cs="宋体"/>
          <w:szCs w:val="28"/>
        </w:rPr>
        <w:t>合格响应人除需符合政府采购法第二十二条规定及政府采购法实施条例（国务院658号令）第十七条规定的基本资格条件外，同时需符合根据该项目特点设置的特定资格条件。</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（1）具有独立承担民事责任的能力；</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（2）具有良好的商业信誉和健全的财务会计制度；</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（3）具有履行合同所必需的设备和专业技术能力；</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（4）有依法缴纳税收和社会保障资金的良好记录；</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（5）参加政府采购活动（开标当日）前三年内，在经营活动中没有重大违法记录；</w:t>
      </w:r>
    </w:p>
    <w:p>
      <w:pPr>
        <w:pageBreakBefore w:val="0"/>
        <w:kinsoku/>
        <w:wordWrap w:val="0"/>
        <w:overflowPunct/>
        <w:topLinePunct/>
        <w:autoSpaceDE/>
        <w:autoSpaceDN/>
        <w:bidi w:val="0"/>
        <w:spacing w:line="400" w:lineRule="exact"/>
        <w:ind w:firstLine="630" w:firstLineChars="300"/>
        <w:textAlignment w:val="auto"/>
        <w:rPr>
          <w:rFonts w:hint="eastAsia" w:ascii="宋体" w:hAnsi="宋体" w:cs="宋体"/>
          <w:szCs w:val="28"/>
        </w:rPr>
      </w:pPr>
      <w:r>
        <w:rPr>
          <w:rFonts w:hint="eastAsia" w:ascii="宋体" w:hAnsi="宋体" w:cs="宋体"/>
          <w:szCs w:val="28"/>
        </w:rPr>
        <w:t>（6）法律、行政法规规定的其他条件。</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2.3特定资格条件：详见谈判公告。</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2.4供应商单位负责人为同一人或者存在直接控股、管理关系的不同供应商，不得参加同一合同项下的政府采购活动；</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2.5凡为采购项目提供整体设计、规范编制或者项目管理、监理、检测等服务的供应商，不得再参加本项目的采购活动；</w:t>
      </w:r>
    </w:p>
    <w:p>
      <w:pPr>
        <w:pageBreakBefore w:val="0"/>
        <w:kinsoku/>
        <w:wordWrap w:val="0"/>
        <w:overflowPunct/>
        <w:topLinePunct/>
        <w:autoSpaceDE/>
        <w:autoSpaceDN/>
        <w:bidi w:val="0"/>
        <w:spacing w:line="400" w:lineRule="exact"/>
        <w:ind w:firstLine="422" w:firstLineChars="200"/>
        <w:textAlignment w:val="auto"/>
        <w:rPr>
          <w:rFonts w:hint="eastAsia" w:ascii="宋体" w:hAnsi="宋体" w:cs="宋体"/>
          <w:b/>
          <w:bCs/>
          <w:szCs w:val="28"/>
        </w:rPr>
      </w:pPr>
      <w:r>
        <w:rPr>
          <w:rFonts w:hint="eastAsia" w:ascii="宋体" w:hAnsi="宋体" w:cs="宋体"/>
          <w:b/>
          <w:bCs/>
          <w:szCs w:val="28"/>
        </w:rPr>
        <w:t>2.6关于对参与供应商信用记录的政府采购要求：</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2.6.1项目评审组织人员于资格审查时通过“信用中国”网站、“中国政府采购网”网站输入供应商全称或统一社会信用代码查询信用记录。</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2.6.2项目评审组在对供应商进行资格性审查时，应根据查询结果对供应商的不良信用记录逐项甄别确认。按照《中华人民共和国政府采购法》第二十二条规定，下列信用记录属于应依法拒绝供应商参加政府采购的失信信息：</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（1）政府采购严重违法记录，即供应商被全国各级财政部门列入“政府采购严重违法失信行为记录名单”，且在处罚有效期内的。</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（2）财政部门与法院、工商、税务等部门联合惩戒的失信信息，包括：</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1）被列入失信被执行人名单；</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2）被列入重大税收违法案件当事人名单；</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color w:val="000000"/>
          <w:szCs w:val="28"/>
        </w:rPr>
      </w:pPr>
      <w:r>
        <w:rPr>
          <w:rFonts w:hint="eastAsia" w:ascii="宋体" w:hAnsi="宋体" w:cs="宋体"/>
          <w:szCs w:val="28"/>
        </w:rPr>
        <w:t>3）企业经营异常名录中被责令停产停业、暂扣或者吊销许可证或者执照，或者对经营活动中的违法行为处较大数额罚款等行政处罚的信用记录。处罚生效日至递交（响应）文件日未满三年的。</w:t>
      </w:r>
      <w:r>
        <w:rPr>
          <w:rFonts w:hint="eastAsia" w:ascii="Times New Roman" w:hAnsi="Times New Roman"/>
          <w:b/>
          <w:bCs/>
          <w:color w:val="000000"/>
          <w:szCs w:val="28"/>
          <w:highlight w:val="yellow"/>
        </w:rPr>
        <w:t>注：</w:t>
      </w:r>
      <w:r>
        <w:rPr>
          <w:rFonts w:ascii="Times New Roman" w:hAnsi="Times New Roman"/>
          <w:b/>
          <w:bCs/>
          <w:color w:val="000000"/>
          <w:szCs w:val="28"/>
          <w:highlight w:val="yellow"/>
        </w:rPr>
        <w:t>较大数额罚款</w:t>
      </w:r>
      <w:r>
        <w:rPr>
          <w:rFonts w:hint="eastAsia" w:ascii="Times New Roman" w:hAnsi="Times New Roman"/>
          <w:b/>
          <w:bCs/>
          <w:color w:val="000000"/>
          <w:szCs w:val="28"/>
          <w:highlight w:val="yellow"/>
        </w:rPr>
        <w:t>金额以罚款听证金额标准来确定，因各省标准不同，以被处罚事项发生地，即处罚机关所在省份标准为准。</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2.6.3对存在失信信息的供应商，评审小组应填写《常州市金坛区政府采购供应商失信信息确认函》，由失信供应商应签名确认。同时，采购代理机构工作人员应根据评审小组确认的失信信息，登陆到相关来源网站页面进行复核并打印，作为证据留存。</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2.6.4响应人参加政府采购活动（开标当日）前三年内，在经营活动中没有重大违法记录，响应人须在响应文件中提交没有重大违法记录的书面声明（），响应人只要存在上述2.6.2项中失信信息情形的，均视为未实质性响应，作无效响应文件处理。“信用中国”网站、“中国政府采购网”网站为供应商信用记录查询的主要网站，供应商失信信息记录查询包含了但并不限于“信用中国”网站、“中国政府采购网”两个网站。</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2.7本次采购是否允许两个（含）以上响应人组成一个联合体以一个响应人身份共同投标，详见</w:t>
      </w:r>
      <w:r>
        <w:rPr>
          <w:rFonts w:hint="eastAsia" w:ascii="宋体" w:hAnsi="宋体" w:cs="宋体"/>
          <w:b/>
          <w:bCs/>
          <w:szCs w:val="28"/>
        </w:rPr>
        <w:t>响应人须知前附表第6条</w:t>
      </w:r>
      <w:r>
        <w:rPr>
          <w:rFonts w:hint="eastAsia" w:ascii="宋体" w:hAnsi="宋体" w:cs="宋体"/>
          <w:szCs w:val="28"/>
        </w:rPr>
        <w:t>。如果允许联合体投标，联合体各方应符合下列要求：</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（1）以联合体形式参加投标的，联合体各方均应当符合政府采购法第二十二条第一款规定的条件，并按照</w:t>
      </w:r>
      <w:r>
        <w:rPr>
          <w:rFonts w:hint="eastAsia" w:ascii="宋体" w:hAnsi="宋体" w:cs="宋体"/>
          <w:b/>
          <w:bCs/>
          <w:szCs w:val="28"/>
        </w:rPr>
        <w:t>响应人须知前附表</w:t>
      </w:r>
      <w:r>
        <w:rPr>
          <w:rFonts w:hint="eastAsia" w:ascii="宋体" w:hAnsi="宋体" w:cs="宋体"/>
          <w:szCs w:val="28"/>
        </w:rPr>
        <w:t>要求提交相关文件。采购人根据采购项目的特殊要求规定响应人特定条件的，联合体各方中至少应当有一方符合采购人规定的特定条件。</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（2）联合体中有同类资质的供应商按照联合体分工承担相同工作的，应当按照资质等级较低的供应商确定资质等级。</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（3）以联合体形式参加政府采购活动的，联合体各方</w:t>
      </w:r>
      <w:r>
        <w:rPr>
          <w:rFonts w:hint="eastAsia" w:ascii="宋体" w:hAnsi="宋体" w:cs="宋体"/>
          <w:b/>
          <w:bCs/>
          <w:szCs w:val="28"/>
        </w:rPr>
        <w:t>不得</w:t>
      </w:r>
      <w:r>
        <w:rPr>
          <w:rFonts w:hint="eastAsia" w:ascii="宋体" w:hAnsi="宋体" w:cs="宋体"/>
          <w:szCs w:val="28"/>
        </w:rPr>
        <w:t>再单独参加或者与其他供应商另外组成联合体参加同一合同项下的政府采购活动。若该等情形被发现，其单独的投标和与此有关的联合体的投标均将被</w:t>
      </w:r>
      <w:r>
        <w:rPr>
          <w:rFonts w:hint="eastAsia" w:ascii="宋体" w:hAnsi="宋体" w:cs="宋体"/>
          <w:b/>
          <w:bCs/>
          <w:szCs w:val="28"/>
        </w:rPr>
        <w:t>拒绝</w:t>
      </w:r>
      <w:r>
        <w:rPr>
          <w:rFonts w:hint="eastAsia" w:ascii="宋体" w:hAnsi="宋体" w:cs="宋体"/>
          <w:szCs w:val="28"/>
        </w:rPr>
        <w:t>。</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采购代理机构与采购人承担连带责任。</w:t>
      </w:r>
    </w:p>
    <w:p>
      <w:pPr>
        <w:pageBreakBefore w:val="0"/>
        <w:kinsoku/>
        <w:wordWrap w:val="0"/>
        <w:overflowPunct/>
        <w:topLinePunct/>
        <w:autoSpaceDE/>
        <w:autoSpaceDN/>
        <w:bidi w:val="0"/>
        <w:spacing w:line="400" w:lineRule="exact"/>
        <w:ind w:firstLine="420" w:firstLineChars="200"/>
        <w:textAlignment w:val="auto"/>
        <w:rPr>
          <w:rFonts w:ascii="宋体" w:hAnsi="宋体" w:cs="宋体"/>
          <w:szCs w:val="21"/>
        </w:rPr>
      </w:pPr>
      <w:r>
        <w:rPr>
          <w:rFonts w:hint="eastAsia" w:ascii="宋体" w:hAnsi="宋体" w:cs="宋体"/>
          <w:szCs w:val="28"/>
        </w:rPr>
        <w:t>2.8响应人应按照谈判公告规定的方式获取谈判文件。</w:t>
      </w:r>
    </w:p>
    <w:p>
      <w:pPr>
        <w:pageBreakBefore w:val="0"/>
        <w:kinsoku/>
        <w:wordWrap w:val="0"/>
        <w:overflowPunct/>
        <w:topLinePunct/>
        <w:autoSpaceDE/>
        <w:autoSpaceDN/>
        <w:bidi w:val="0"/>
        <w:spacing w:line="400" w:lineRule="exact"/>
        <w:textAlignment w:val="auto"/>
        <w:rPr>
          <w:rFonts w:hint="eastAsia" w:ascii="宋体" w:hAnsi="宋体" w:cs="宋体"/>
          <w:b/>
          <w:szCs w:val="21"/>
        </w:rPr>
      </w:pPr>
      <w:r>
        <w:rPr>
          <w:rFonts w:hint="eastAsia" w:ascii="宋体" w:hAnsi="宋体" w:cs="宋体"/>
          <w:b/>
          <w:szCs w:val="21"/>
        </w:rPr>
        <w:t>三、谈判费用</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3.1响应人应自行承担其编制、提交响应文件以及参加竞争性谈判活动所产生之一切费用。无论竞争性谈判活动中的做法和结果如何(包括采购单位决定取消采购的)，采购人和采购代理机构对上述费用不负任何责任。</w:t>
      </w:r>
    </w:p>
    <w:p>
      <w:pPr>
        <w:pageBreakBefore w:val="0"/>
        <w:kinsoku/>
        <w:wordWrap w:val="0"/>
        <w:overflowPunct/>
        <w:topLinePunct/>
        <w:autoSpaceDE/>
        <w:autoSpaceDN/>
        <w:bidi w:val="0"/>
        <w:spacing w:line="400" w:lineRule="exact"/>
        <w:textAlignment w:val="auto"/>
        <w:rPr>
          <w:rFonts w:hint="eastAsia" w:ascii="宋体" w:hAnsi="宋体" w:cs="宋体"/>
          <w:b/>
          <w:szCs w:val="21"/>
        </w:rPr>
      </w:pPr>
      <w:r>
        <w:rPr>
          <w:rFonts w:hint="eastAsia" w:ascii="宋体" w:hAnsi="宋体" w:cs="宋体"/>
          <w:b/>
          <w:szCs w:val="21"/>
        </w:rPr>
        <w:t>四、谈判文件</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4.1谈判文件由下列七部分内容组成：</w:t>
      </w:r>
    </w:p>
    <w:p>
      <w:pPr>
        <w:pageBreakBefore w:val="0"/>
        <w:kinsoku/>
        <w:wordWrap w:val="0"/>
        <w:overflowPunct/>
        <w:topLinePunct/>
        <w:autoSpaceDE/>
        <w:autoSpaceDN/>
        <w:bidi w:val="0"/>
        <w:spacing w:line="400" w:lineRule="exact"/>
        <w:ind w:firstLine="1050" w:firstLineChars="500"/>
        <w:textAlignment w:val="auto"/>
        <w:rPr>
          <w:rFonts w:hint="eastAsia" w:ascii="宋体" w:hAnsi="宋体" w:cs="宋体"/>
          <w:color w:val="000000"/>
          <w:szCs w:val="28"/>
        </w:rPr>
      </w:pPr>
      <w:r>
        <w:rPr>
          <w:rFonts w:hint="eastAsia" w:ascii="宋体" w:hAnsi="宋体" w:cs="宋体"/>
          <w:color w:val="000000"/>
          <w:szCs w:val="28"/>
        </w:rPr>
        <w:t>第一部分 采购邀请</w:t>
      </w:r>
    </w:p>
    <w:p>
      <w:pPr>
        <w:pageBreakBefore w:val="0"/>
        <w:kinsoku/>
        <w:wordWrap w:val="0"/>
        <w:overflowPunct/>
        <w:topLinePunct/>
        <w:autoSpaceDE/>
        <w:autoSpaceDN/>
        <w:bidi w:val="0"/>
        <w:spacing w:line="400" w:lineRule="exact"/>
        <w:ind w:firstLine="1050" w:firstLineChars="500"/>
        <w:textAlignment w:val="auto"/>
        <w:rPr>
          <w:rFonts w:hint="eastAsia" w:ascii="宋体" w:hAnsi="宋体" w:cs="宋体"/>
          <w:color w:val="000000"/>
          <w:szCs w:val="28"/>
        </w:rPr>
      </w:pPr>
      <w:r>
        <w:rPr>
          <w:rFonts w:hint="eastAsia" w:ascii="宋体" w:hAnsi="宋体" w:cs="宋体"/>
          <w:color w:val="000000"/>
          <w:szCs w:val="28"/>
        </w:rPr>
        <w:t>第二部分 响应人须知前附表</w:t>
      </w:r>
    </w:p>
    <w:p>
      <w:pPr>
        <w:pageBreakBefore w:val="0"/>
        <w:kinsoku/>
        <w:wordWrap w:val="0"/>
        <w:overflowPunct/>
        <w:topLinePunct/>
        <w:autoSpaceDE/>
        <w:autoSpaceDN/>
        <w:bidi w:val="0"/>
        <w:spacing w:line="400" w:lineRule="exact"/>
        <w:ind w:firstLine="1050" w:firstLineChars="500"/>
        <w:textAlignment w:val="auto"/>
        <w:rPr>
          <w:rFonts w:hint="eastAsia" w:ascii="宋体" w:hAnsi="宋体" w:cs="宋体"/>
          <w:color w:val="000000"/>
          <w:szCs w:val="28"/>
        </w:rPr>
      </w:pPr>
      <w:r>
        <w:rPr>
          <w:rFonts w:hint="eastAsia" w:ascii="宋体" w:hAnsi="宋体" w:cs="宋体"/>
          <w:color w:val="000000"/>
          <w:szCs w:val="28"/>
        </w:rPr>
        <w:t>第三部分 响应人须知</w:t>
      </w:r>
    </w:p>
    <w:p>
      <w:pPr>
        <w:pageBreakBefore w:val="0"/>
        <w:kinsoku/>
        <w:wordWrap w:val="0"/>
        <w:overflowPunct/>
        <w:topLinePunct/>
        <w:autoSpaceDE/>
        <w:autoSpaceDN/>
        <w:bidi w:val="0"/>
        <w:spacing w:line="400" w:lineRule="exact"/>
        <w:ind w:firstLine="1050" w:firstLineChars="500"/>
        <w:textAlignment w:val="auto"/>
        <w:rPr>
          <w:rFonts w:hint="eastAsia" w:ascii="宋体" w:hAnsi="宋体" w:cs="宋体"/>
          <w:color w:val="000000"/>
          <w:szCs w:val="28"/>
          <w:highlight w:val="yellow"/>
        </w:rPr>
      </w:pPr>
      <w:r>
        <w:rPr>
          <w:rFonts w:hint="eastAsia" w:ascii="宋体" w:hAnsi="宋体" w:cs="宋体"/>
          <w:color w:val="000000"/>
          <w:szCs w:val="28"/>
          <w:highlight w:val="yellow"/>
        </w:rPr>
        <w:t>第四部分 采购需求</w:t>
      </w:r>
    </w:p>
    <w:p>
      <w:pPr>
        <w:pageBreakBefore w:val="0"/>
        <w:kinsoku/>
        <w:wordWrap w:val="0"/>
        <w:overflowPunct/>
        <w:topLinePunct/>
        <w:autoSpaceDE/>
        <w:autoSpaceDN/>
        <w:bidi w:val="0"/>
        <w:spacing w:line="400" w:lineRule="exact"/>
        <w:ind w:firstLine="1050" w:firstLineChars="500"/>
        <w:textAlignment w:val="auto"/>
        <w:rPr>
          <w:rFonts w:hint="eastAsia" w:ascii="宋体" w:hAnsi="宋体" w:cs="宋体"/>
          <w:color w:val="000000"/>
          <w:szCs w:val="28"/>
          <w:highlight w:val="yellow"/>
        </w:rPr>
      </w:pPr>
      <w:r>
        <w:rPr>
          <w:rFonts w:hint="eastAsia" w:ascii="宋体" w:hAnsi="宋体" w:cs="宋体"/>
          <w:color w:val="000000"/>
          <w:szCs w:val="28"/>
          <w:highlight w:val="yellow"/>
        </w:rPr>
        <w:t>第五部分 成交合同</w:t>
      </w:r>
    </w:p>
    <w:p>
      <w:pPr>
        <w:pageBreakBefore w:val="0"/>
        <w:kinsoku/>
        <w:wordWrap w:val="0"/>
        <w:overflowPunct/>
        <w:topLinePunct/>
        <w:autoSpaceDE/>
        <w:autoSpaceDN/>
        <w:bidi w:val="0"/>
        <w:spacing w:line="400" w:lineRule="exact"/>
        <w:ind w:firstLine="1050" w:firstLineChars="500"/>
        <w:textAlignment w:val="auto"/>
        <w:rPr>
          <w:rFonts w:hint="eastAsia" w:ascii="宋体" w:hAnsi="宋体" w:cs="宋体"/>
          <w:color w:val="000000"/>
          <w:szCs w:val="28"/>
          <w:highlight w:val="yellow"/>
        </w:rPr>
      </w:pPr>
      <w:r>
        <w:rPr>
          <w:rFonts w:hint="eastAsia" w:ascii="宋体" w:hAnsi="宋体" w:cs="宋体"/>
          <w:color w:val="000000"/>
          <w:szCs w:val="28"/>
          <w:highlight w:val="yellow"/>
        </w:rPr>
        <w:t>第六部分 响应文件格式</w:t>
      </w:r>
    </w:p>
    <w:p>
      <w:pPr>
        <w:pageBreakBefore w:val="0"/>
        <w:kinsoku/>
        <w:wordWrap w:val="0"/>
        <w:overflowPunct/>
        <w:topLinePunct/>
        <w:autoSpaceDE/>
        <w:autoSpaceDN/>
        <w:bidi w:val="0"/>
        <w:spacing w:line="400" w:lineRule="exact"/>
        <w:ind w:firstLine="1050" w:firstLineChars="500"/>
        <w:textAlignment w:val="auto"/>
        <w:rPr>
          <w:rFonts w:hint="default" w:ascii="宋体" w:hAnsi="宋体" w:eastAsia="宋体" w:cs="宋体"/>
          <w:color w:val="000000"/>
          <w:szCs w:val="28"/>
          <w:highlight w:val="yellow"/>
          <w:lang w:val="en-US" w:eastAsia="zh-CN"/>
        </w:rPr>
      </w:pPr>
      <w:r>
        <w:rPr>
          <w:rFonts w:hint="eastAsia" w:ascii="宋体" w:hAnsi="宋体" w:eastAsia="宋体" w:cs="宋体"/>
          <w:color w:val="000000"/>
          <w:szCs w:val="28"/>
          <w:highlight w:val="yellow"/>
          <w:lang w:val="en-US" w:eastAsia="zh-CN"/>
        </w:rPr>
        <w:t>第七部分 评审办法</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8"/>
        </w:rPr>
      </w:pPr>
      <w:r>
        <w:rPr>
          <w:rFonts w:hint="eastAsia" w:ascii="宋体" w:hAnsi="宋体" w:cs="宋体"/>
          <w:szCs w:val="28"/>
        </w:rPr>
        <w:t>4.2谈判文件的更正</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szCs w:val="28"/>
        </w:rPr>
        <w:t>（1）</w:t>
      </w:r>
      <w:r>
        <w:rPr>
          <w:rFonts w:hint="eastAsia" w:ascii="宋体" w:hAnsi="宋体" w:cs="宋体"/>
          <w:bCs/>
          <w:szCs w:val="21"/>
        </w:rPr>
        <w:t>供应商认为谈判文件、采购过程和中标、成交结果使自己的权益受到损害的，可以在知道或者应知其权益受到损害之日起七个工作日内，根据《政府采购质疑和投诉办法》（中华人民共和国财政部令第94号）向代理机构提出质疑。</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szCs w:val="28"/>
        </w:rPr>
        <w:t>（2）</w:t>
      </w:r>
      <w:r>
        <w:rPr>
          <w:rFonts w:hint="eastAsia" w:ascii="宋体" w:hAnsi="宋体" w:cs="宋体"/>
          <w:bCs/>
          <w:szCs w:val="21"/>
        </w:rPr>
        <w:t>供应商应当在法定质疑期内一次性提出针对同一采购程序环节的质疑。</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szCs w:val="28"/>
        </w:rPr>
        <w:t>（3）</w:t>
      </w:r>
      <w:r>
        <w:rPr>
          <w:rFonts w:hint="eastAsia" w:ascii="宋体" w:hAnsi="宋体" w:cs="宋体"/>
          <w:bCs/>
          <w:szCs w:val="21"/>
        </w:rPr>
        <w:t>响应人在收到谈判文件后，如有疑问需要澄清，应在答疑规定的时间前以书面形式向采购人提出，如无疑问,视作响应人完全响应采购文件的条款和要求。采购人作出的澄清或修改将公告通知所有采购文件收受人。</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szCs w:val="28"/>
        </w:rPr>
        <w:t>（4）</w:t>
      </w:r>
      <w:r>
        <w:rPr>
          <w:rFonts w:hint="eastAsia" w:ascii="宋体" w:hAnsi="宋体" w:cs="宋体"/>
          <w:bCs/>
          <w:szCs w:val="21"/>
        </w:rPr>
        <w:t>采购人或采购代理机构无论出于自己的考虑，还是出于对响应人提问的澄清，均可对谈判文件用更正公告的方式进行修改。</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szCs w:val="28"/>
        </w:rPr>
        <w:t>（5）</w:t>
      </w:r>
      <w:r>
        <w:rPr>
          <w:rFonts w:hint="eastAsia" w:ascii="宋体" w:hAnsi="宋体" w:cs="宋体"/>
          <w:bCs/>
          <w:szCs w:val="21"/>
        </w:rPr>
        <w:t>谈判文件及谈判文件的澄清、修改、补充等内容均以常州市政府采购网发布的内容为准。可通过“常州市政府采购网”——“更正公告”栏定期自行查看、下载相关采购项目的补充通知。</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szCs w:val="28"/>
        </w:rPr>
        <w:t>（6）</w:t>
      </w:r>
      <w:r>
        <w:rPr>
          <w:rFonts w:hint="eastAsia" w:ascii="宋体" w:hAnsi="宋体" w:cs="宋体"/>
          <w:bCs/>
          <w:szCs w:val="21"/>
        </w:rPr>
        <w:t>谈判文件的更正（含澄清、修改等）内容与原谈判文件在同一内容上表述不一致时，以发出日期最接近开标时间的公告为准。谈判文件的更正（含澄清、修改等）内容将在财政部门指定的政府采购信息发布媒体上发布，作为谈判文件的组成部分，对响应人起约束作用。</w:t>
      </w:r>
    </w:p>
    <w:p>
      <w:pPr>
        <w:pageBreakBefore w:val="0"/>
        <w:kinsoku/>
        <w:wordWrap w:val="0"/>
        <w:overflowPunct/>
        <w:topLinePunct/>
        <w:autoSpaceDE/>
        <w:autoSpaceDN/>
        <w:bidi w:val="0"/>
        <w:spacing w:line="400" w:lineRule="exact"/>
        <w:textAlignment w:val="auto"/>
        <w:rPr>
          <w:rFonts w:hint="eastAsia" w:ascii="宋体" w:hAnsi="宋体" w:cs="宋体"/>
          <w:b/>
          <w:szCs w:val="21"/>
        </w:rPr>
      </w:pPr>
      <w:r>
        <w:rPr>
          <w:rFonts w:hint="eastAsia" w:ascii="宋体" w:hAnsi="宋体" w:cs="宋体"/>
          <w:b/>
          <w:szCs w:val="21"/>
        </w:rPr>
        <w:t>五、响应人的义务</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5.1</w:t>
      </w:r>
      <w:r>
        <w:rPr>
          <w:rFonts w:hint="eastAsia" w:ascii="宋体" w:hAnsi="宋体" w:cs="宋体"/>
          <w:bCs/>
          <w:szCs w:val="21"/>
        </w:rPr>
        <w:t>响应人</w:t>
      </w:r>
      <w:r>
        <w:rPr>
          <w:rFonts w:hint="eastAsia" w:ascii="宋体" w:hAnsi="宋体" w:cs="宋体"/>
          <w:szCs w:val="21"/>
        </w:rPr>
        <w:t>应当认真阅读谈判文件，完全明了采购项目之名称、用途、数量、质量和交货日期，完全明了</w:t>
      </w:r>
      <w:r>
        <w:rPr>
          <w:rFonts w:hint="eastAsia" w:ascii="宋体" w:hAnsi="宋体" w:cs="宋体"/>
          <w:bCs/>
          <w:szCs w:val="21"/>
        </w:rPr>
        <w:t>响应人</w:t>
      </w:r>
      <w:r>
        <w:rPr>
          <w:rFonts w:hint="eastAsia" w:ascii="宋体" w:hAnsi="宋体" w:cs="宋体"/>
          <w:szCs w:val="21"/>
        </w:rPr>
        <w:t>所应具备的资格条件。</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5.2</w:t>
      </w:r>
      <w:r>
        <w:rPr>
          <w:rFonts w:hint="eastAsia" w:ascii="宋体" w:hAnsi="宋体" w:cs="宋体"/>
          <w:bCs/>
          <w:szCs w:val="21"/>
        </w:rPr>
        <w:t>响应人</w:t>
      </w:r>
      <w:r>
        <w:rPr>
          <w:rFonts w:hint="eastAsia" w:ascii="宋体" w:hAnsi="宋体" w:cs="宋体"/>
          <w:szCs w:val="21"/>
        </w:rPr>
        <w:t>应当按照谈判文件的要求编制响应文件。响应文件应对谈判文件提出的实质性要求和条件作出完全响应。</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5.3</w:t>
      </w:r>
      <w:r>
        <w:rPr>
          <w:rFonts w:hint="eastAsia" w:ascii="宋体" w:hAnsi="宋体" w:cs="宋体"/>
          <w:bCs/>
          <w:szCs w:val="21"/>
        </w:rPr>
        <w:t>响应人</w:t>
      </w:r>
      <w:r>
        <w:rPr>
          <w:rFonts w:hint="eastAsia" w:ascii="宋体" w:hAnsi="宋体" w:cs="宋体"/>
          <w:szCs w:val="21"/>
        </w:rPr>
        <w:t>应在响应文件提交截止时间前，将密封的响应文件送达指定地点。</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5.4</w:t>
      </w:r>
      <w:r>
        <w:rPr>
          <w:rFonts w:hint="eastAsia" w:ascii="宋体" w:hAnsi="宋体" w:cs="宋体"/>
          <w:bCs/>
          <w:szCs w:val="21"/>
        </w:rPr>
        <w:t>响应人</w:t>
      </w:r>
      <w:r>
        <w:rPr>
          <w:rFonts w:hint="eastAsia" w:ascii="宋体" w:hAnsi="宋体" w:cs="宋体"/>
          <w:szCs w:val="21"/>
        </w:rPr>
        <w:t>不得相互串通谈判报价，不得排挤其他</w:t>
      </w:r>
      <w:r>
        <w:rPr>
          <w:rFonts w:hint="eastAsia" w:ascii="宋体" w:hAnsi="宋体" w:cs="宋体"/>
          <w:bCs/>
          <w:szCs w:val="21"/>
        </w:rPr>
        <w:t>响应人</w:t>
      </w:r>
      <w:r>
        <w:rPr>
          <w:rFonts w:hint="eastAsia" w:ascii="宋体" w:hAnsi="宋体" w:cs="宋体"/>
          <w:szCs w:val="21"/>
        </w:rPr>
        <w:t>的公平竞争，损害采购人或者其他</w:t>
      </w:r>
      <w:r>
        <w:rPr>
          <w:rFonts w:hint="eastAsia" w:ascii="宋体" w:hAnsi="宋体" w:cs="宋体"/>
          <w:bCs/>
          <w:szCs w:val="21"/>
        </w:rPr>
        <w:t>响应人</w:t>
      </w:r>
      <w:r>
        <w:rPr>
          <w:rFonts w:hint="eastAsia" w:ascii="宋体" w:hAnsi="宋体" w:cs="宋体"/>
          <w:szCs w:val="21"/>
        </w:rPr>
        <w:t>合法权益。</w:t>
      </w:r>
      <w:r>
        <w:rPr>
          <w:rFonts w:hint="eastAsia" w:ascii="宋体" w:hAnsi="宋体" w:cs="宋体"/>
          <w:bCs/>
          <w:szCs w:val="21"/>
        </w:rPr>
        <w:t>响应人</w:t>
      </w:r>
      <w:r>
        <w:rPr>
          <w:rFonts w:hint="eastAsia" w:ascii="宋体" w:hAnsi="宋体" w:cs="宋体"/>
          <w:szCs w:val="21"/>
        </w:rPr>
        <w:t>不得与采购人串通，损害国家利益，公众利益或者他人的合法权益。</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napToGrid w:val="0"/>
          <w:spacing w:val="-6"/>
          <w:sz w:val="40"/>
          <w:szCs w:val="44"/>
        </w:rPr>
      </w:pPr>
      <w:r>
        <w:rPr>
          <w:rFonts w:hint="eastAsia" w:ascii="宋体" w:hAnsi="宋体" w:cs="宋体"/>
          <w:szCs w:val="21"/>
        </w:rPr>
        <w:t>5.5</w:t>
      </w:r>
      <w:r>
        <w:rPr>
          <w:rFonts w:hint="eastAsia" w:ascii="宋体" w:hAnsi="宋体" w:cs="宋体"/>
          <w:bCs/>
          <w:szCs w:val="21"/>
        </w:rPr>
        <w:t>响应人</w:t>
      </w:r>
      <w:r>
        <w:rPr>
          <w:rFonts w:hint="eastAsia" w:ascii="宋体" w:hAnsi="宋体" w:cs="宋体"/>
          <w:szCs w:val="21"/>
        </w:rPr>
        <w:t>在响应文件提交截止时间前，对所提交的响应文件可以补充、修改或者撤回，并书面通知采购代理机构。补充、修改的内容为响应文件的组成部分。</w:t>
      </w:r>
    </w:p>
    <w:p>
      <w:pPr>
        <w:pageBreakBefore w:val="0"/>
        <w:kinsoku/>
        <w:wordWrap w:val="0"/>
        <w:overflowPunct/>
        <w:topLinePunct/>
        <w:autoSpaceDE/>
        <w:autoSpaceDN/>
        <w:bidi w:val="0"/>
        <w:snapToGrid w:val="0"/>
        <w:spacing w:line="400" w:lineRule="exact"/>
        <w:textAlignment w:val="auto"/>
        <w:rPr>
          <w:rFonts w:hint="eastAsia" w:ascii="宋体" w:hAnsi="宋体" w:cs="宋体"/>
          <w:b/>
          <w:szCs w:val="21"/>
        </w:rPr>
      </w:pPr>
      <w:bookmarkStart w:id="57" w:name="_Toc288738331"/>
      <w:bookmarkStart w:id="58" w:name="_Toc288738799"/>
      <w:bookmarkStart w:id="59" w:name="_Toc288738405"/>
      <w:r>
        <w:rPr>
          <w:rFonts w:hint="eastAsia" w:ascii="宋体" w:hAnsi="宋体" w:cs="宋体"/>
          <w:b/>
          <w:szCs w:val="21"/>
        </w:rPr>
        <w:t>六、响应文件组成</w:t>
      </w:r>
      <w:bookmarkEnd w:id="57"/>
      <w:bookmarkEnd w:id="58"/>
      <w:bookmarkEnd w:id="59"/>
      <w:r>
        <w:rPr>
          <w:rFonts w:hint="eastAsia" w:ascii="微软雅黑" w:hAnsi="微软雅黑"/>
          <w:b/>
          <w:bCs/>
        </w:rPr>
        <w:t>及相关要求</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6.1一式三份，一份正本，两份副本，响应文件应当符合谈判文件的要求，并应包括但不限于下列内容。</w:t>
      </w:r>
    </w:p>
    <w:p>
      <w:pPr>
        <w:pageBreakBefore w:val="0"/>
        <w:kinsoku/>
        <w:wordWrap w:val="0"/>
        <w:overflowPunct/>
        <w:topLinePunct/>
        <w:autoSpaceDE/>
        <w:autoSpaceDN/>
        <w:bidi w:val="0"/>
        <w:snapToGrid w:val="0"/>
        <w:spacing w:line="400" w:lineRule="exact"/>
        <w:ind w:firstLine="420" w:firstLineChars="200"/>
        <w:textAlignment w:val="auto"/>
        <w:rPr>
          <w:rFonts w:hint="eastAsia" w:ascii="微软雅黑" w:hAnsi="微软雅黑"/>
        </w:rPr>
      </w:pPr>
      <w:r>
        <w:rPr>
          <w:rFonts w:hint="eastAsia" w:ascii="宋体" w:hAnsi="宋体" w:cs="宋体"/>
          <w:szCs w:val="21"/>
        </w:rPr>
        <w:t>6.1.1响应</w:t>
      </w:r>
      <w:r>
        <w:rPr>
          <w:rFonts w:hint="eastAsia" w:ascii="微软雅黑" w:hAnsi="微软雅黑"/>
        </w:rPr>
        <w:t>文件编写</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rPr>
      </w:pPr>
      <w:r>
        <w:rPr>
          <w:rFonts w:hint="eastAsia" w:ascii="宋体" w:hAnsi="宋体" w:cs="宋体"/>
        </w:rPr>
        <w:t>（1）按照谈判文件中</w:t>
      </w:r>
      <w:r>
        <w:rPr>
          <w:rFonts w:hint="eastAsia" w:ascii="宋体" w:hAnsi="宋体" w:cs="宋体"/>
          <w:b/>
          <w:bCs/>
        </w:rPr>
        <w:t>本条6.2响应材料格式部分规定的顺序</w:t>
      </w:r>
      <w:r>
        <w:rPr>
          <w:rFonts w:hint="eastAsia" w:ascii="宋体" w:hAnsi="宋体" w:cs="宋体"/>
        </w:rPr>
        <w:t>，统一编目编码并编制目录。由于编排混乱导致响应文件被误读或查找不到，责任应当由响应人承担。</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rPr>
      </w:pPr>
      <w:r>
        <w:rPr>
          <w:rFonts w:hint="eastAsia" w:ascii="宋体" w:hAnsi="宋体" w:cs="宋体"/>
        </w:rPr>
        <w:t>（2）响应人应详细阅读谈判文件的全部内容。响应文件须对谈判文件中的内容做出实质性和完整的响应，如果响应文件填报的内容资料不详，或没有提供谈判文件中所要求的全部资料及数据，将被视为响应文件完整性有缺陷。</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rPr>
      </w:pPr>
      <w:r>
        <w:rPr>
          <w:rFonts w:hint="eastAsia" w:ascii="宋体" w:hAnsi="宋体" w:cs="宋体"/>
        </w:rPr>
        <w:t>（3）除可填报内容外，对响应函内容的任何实质性修改将被视为非实质性响应投标，该响应将被拒绝。</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rPr>
      </w:pPr>
      <w:r>
        <w:rPr>
          <w:rFonts w:hint="eastAsia" w:ascii="宋体" w:hAnsi="宋体" w:cs="宋体"/>
        </w:rPr>
        <w:t>（4）响应文件应按照谈判文件的格式逐项填写，无相应内容可填的项应填写“无”、“未测试”、“没有相应指标”等明确的回答文字。</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rPr>
        <w:t>（5）响应人必须保证谈判文件所提供的全部资料真实可靠。</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bookmarkStart w:id="60" w:name="_Toc288738332"/>
      <w:bookmarkStart w:id="61" w:name="_Toc288738406"/>
      <w:bookmarkStart w:id="62" w:name="_Toc288738800"/>
      <w:r>
        <w:rPr>
          <w:rFonts w:hint="eastAsia" w:ascii="宋体" w:hAnsi="宋体" w:cs="宋体"/>
          <w:szCs w:val="21"/>
        </w:rPr>
        <w:t>6.2响应文件构成</w:t>
      </w:r>
      <w:r>
        <w:rPr>
          <w:rFonts w:ascii="Times New Roman" w:hAnsi="Times New Roman"/>
          <w:b/>
          <w:bCs/>
          <w:color w:val="000000"/>
          <w:szCs w:val="21"/>
        </w:rPr>
        <w:t>（</w:t>
      </w:r>
      <w:r>
        <w:rPr>
          <w:rFonts w:ascii="Times New Roman" w:hAnsi="Times New Roman"/>
          <w:b/>
          <w:bCs/>
          <w:color w:val="FF0000"/>
          <w:szCs w:val="21"/>
        </w:rPr>
        <w:t>注：本小节中加 * 项目文件若有缺失或无效，投标将被拒绝或投标无效且不允许在开标后补正；加 * 项目文件详见第</w:t>
      </w:r>
      <w:r>
        <w:rPr>
          <w:rFonts w:hint="eastAsia" w:ascii="Times New Roman" w:hAnsi="Times New Roman"/>
          <w:b/>
          <w:bCs/>
          <w:color w:val="FF0000"/>
          <w:szCs w:val="21"/>
        </w:rPr>
        <w:t>六</w:t>
      </w:r>
      <w:r>
        <w:rPr>
          <w:rFonts w:ascii="Times New Roman" w:hAnsi="Times New Roman"/>
          <w:b/>
          <w:bCs/>
          <w:color w:val="FF0000"/>
          <w:szCs w:val="21"/>
        </w:rPr>
        <w:t>部分-响应文件格式</w:t>
      </w:r>
      <w:r>
        <w:rPr>
          <w:rFonts w:ascii="Times New Roman" w:hAnsi="Times New Roman"/>
          <w:b/>
          <w:bCs/>
          <w:color w:val="000000"/>
          <w:szCs w:val="21"/>
        </w:rPr>
        <w:t>）</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8"/>
        </w:rPr>
      </w:pPr>
      <w:r>
        <w:rPr>
          <w:rFonts w:hint="eastAsia" w:ascii="宋体" w:hAnsi="宋体" w:cs="宋体"/>
          <w:color w:val="000000"/>
          <w:szCs w:val="28"/>
        </w:rPr>
        <w:t>（1）</w:t>
      </w:r>
      <w:r>
        <w:rPr>
          <w:rFonts w:hint="eastAsia" w:ascii="宋体" w:hAnsi="宋体" w:cs="宋体"/>
          <w:color w:val="000000"/>
          <w:szCs w:val="21"/>
        </w:rPr>
        <w:t>响应人情况说明：响应人简介（含供应商规模、技术能力及装备水平等）、人员情况、典型项目介绍。</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hint="eastAsia" w:ascii="宋体" w:hAnsi="宋体" w:cs="宋体"/>
          <w:color w:val="000000"/>
          <w:szCs w:val="21"/>
        </w:rPr>
        <w:t>（2）</w:t>
      </w:r>
      <w:r>
        <w:rPr>
          <w:rFonts w:ascii="Times New Roman" w:hAnsi="Times New Roman"/>
          <w:b/>
          <w:bCs/>
          <w:szCs w:val="21"/>
        </w:rPr>
        <w:t>*</w:t>
      </w:r>
      <w:r>
        <w:rPr>
          <w:rFonts w:ascii="Times New Roman" w:hAnsi="Times New Roman"/>
          <w:color w:val="000000"/>
          <w:szCs w:val="21"/>
        </w:rPr>
        <w:t>响应函；</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ascii="Times New Roman" w:hAnsi="Times New Roman"/>
          <w:color w:val="000000"/>
          <w:szCs w:val="28"/>
        </w:rPr>
        <w:t>（3）</w:t>
      </w:r>
      <w:r>
        <w:rPr>
          <w:rFonts w:ascii="Times New Roman" w:hAnsi="Times New Roman"/>
          <w:b/>
          <w:bCs/>
          <w:szCs w:val="21"/>
        </w:rPr>
        <w:t>*</w:t>
      </w:r>
      <w:r>
        <w:rPr>
          <w:rFonts w:ascii="Times New Roman" w:hAnsi="Times New Roman"/>
          <w:kern w:val="0"/>
          <w:szCs w:val="20"/>
        </w:rPr>
        <w:t>法定代表人授权委托书</w:t>
      </w:r>
      <w:r>
        <w:rPr>
          <w:rFonts w:ascii="Times New Roman" w:hAnsi="Times New Roman"/>
          <w:color w:val="000000"/>
          <w:szCs w:val="21"/>
        </w:rPr>
        <w:t>和本人身份证复印件</w:t>
      </w:r>
      <w:r>
        <w:rPr>
          <w:rFonts w:ascii="Times New Roman" w:hAnsi="Times New Roman"/>
          <w:kern w:val="0"/>
          <w:szCs w:val="20"/>
        </w:rPr>
        <w:t>（响应人代表不是法定代表人时须提供）</w:t>
      </w:r>
      <w:r>
        <w:rPr>
          <w:rFonts w:ascii="Times New Roman" w:hAnsi="Times New Roman"/>
          <w:color w:val="000000"/>
          <w:szCs w:val="21"/>
        </w:rPr>
        <w:t>；</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ascii="Times New Roman" w:hAnsi="Times New Roman"/>
          <w:color w:val="000000"/>
          <w:szCs w:val="28"/>
        </w:rPr>
        <w:t>（4）</w:t>
      </w:r>
      <w:r>
        <w:rPr>
          <w:rFonts w:ascii="Times New Roman" w:hAnsi="Times New Roman"/>
          <w:b/>
          <w:bCs/>
          <w:szCs w:val="21"/>
        </w:rPr>
        <w:t>*</w:t>
      </w:r>
      <w:r>
        <w:rPr>
          <w:rFonts w:ascii="Times New Roman" w:hAnsi="Times New Roman"/>
          <w:color w:val="000000"/>
          <w:szCs w:val="21"/>
        </w:rPr>
        <w:t>法人或者其他组织的提供营业执照等证明文件复印件；</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ascii="Times New Roman" w:hAnsi="Times New Roman"/>
          <w:color w:val="000000"/>
          <w:szCs w:val="28"/>
        </w:rPr>
        <w:t>（5）</w:t>
      </w:r>
      <w:r>
        <w:rPr>
          <w:rFonts w:ascii="Times New Roman" w:hAnsi="Times New Roman"/>
          <w:b/>
          <w:bCs/>
          <w:szCs w:val="21"/>
        </w:rPr>
        <w:t>*</w:t>
      </w:r>
      <w:r>
        <w:rPr>
          <w:rFonts w:ascii="Times New Roman" w:hAnsi="Times New Roman"/>
          <w:color w:val="000000"/>
          <w:szCs w:val="21"/>
        </w:rPr>
        <w:t>具备履行合同所必需的设备和专业技术能力的书面声明；</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ascii="Times New Roman" w:hAnsi="Times New Roman"/>
          <w:color w:val="000000"/>
          <w:szCs w:val="28"/>
        </w:rPr>
        <w:t>（6）</w:t>
      </w:r>
      <w:r>
        <w:rPr>
          <w:rFonts w:ascii="Times New Roman" w:hAnsi="Times New Roman"/>
          <w:b/>
          <w:bCs/>
          <w:szCs w:val="21"/>
        </w:rPr>
        <w:t>*</w:t>
      </w:r>
      <w:r>
        <w:rPr>
          <w:rFonts w:ascii="Times New Roman" w:hAnsi="Times New Roman"/>
          <w:color w:val="000000"/>
          <w:szCs w:val="21"/>
        </w:rPr>
        <w:t>参加政府采购活动前3年内在经营活动中没有重大违法记录的书面声明；</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ascii="Times New Roman" w:hAnsi="Times New Roman"/>
          <w:color w:val="000000"/>
          <w:szCs w:val="28"/>
        </w:rPr>
        <w:t>（7）</w:t>
      </w:r>
      <w:r>
        <w:rPr>
          <w:rFonts w:ascii="Times New Roman" w:hAnsi="Times New Roman"/>
          <w:b/>
          <w:bCs/>
          <w:szCs w:val="21"/>
        </w:rPr>
        <w:t>*</w:t>
      </w:r>
      <w:r>
        <w:rPr>
          <w:rFonts w:ascii="Times New Roman" w:hAnsi="Times New Roman"/>
          <w:color w:val="000000"/>
          <w:szCs w:val="21"/>
        </w:rPr>
        <w:t>开标一览表及分项报价明细表；</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b/>
          <w:bCs/>
          <w:color w:val="000000"/>
          <w:szCs w:val="21"/>
        </w:rPr>
      </w:pPr>
      <w:r>
        <w:rPr>
          <w:rFonts w:ascii="Times New Roman" w:hAnsi="Times New Roman"/>
          <w:color w:val="000000"/>
          <w:szCs w:val="28"/>
        </w:rPr>
        <w:t>（8）</w:t>
      </w:r>
      <w:r>
        <w:rPr>
          <w:rFonts w:ascii="Times New Roman" w:hAnsi="Times New Roman"/>
          <w:b/>
          <w:bCs/>
          <w:szCs w:val="21"/>
        </w:rPr>
        <w:t>*</w:t>
      </w:r>
      <w:r>
        <w:rPr>
          <w:rFonts w:ascii="Times New Roman" w:hAnsi="Times New Roman"/>
          <w:b/>
          <w:bCs/>
          <w:color w:val="000000"/>
          <w:szCs w:val="21"/>
        </w:rPr>
        <w:t>响应人</w:t>
      </w:r>
      <w:r>
        <w:rPr>
          <w:rFonts w:ascii="Times New Roman" w:hAnsi="Times New Roman"/>
          <w:b/>
          <w:bCs/>
          <w:color w:val="000000"/>
          <w:szCs w:val="28"/>
        </w:rPr>
        <w:t>基本资格</w:t>
      </w:r>
      <w:r>
        <w:rPr>
          <w:rFonts w:ascii="Times New Roman" w:hAnsi="Times New Roman"/>
          <w:b/>
          <w:bCs/>
          <w:color w:val="000000"/>
          <w:szCs w:val="21"/>
        </w:rPr>
        <w:t>要求材料；</w:t>
      </w:r>
    </w:p>
    <w:p>
      <w:pPr>
        <w:pageBreakBefore w:val="0"/>
        <w:kinsoku/>
        <w:wordWrap w:val="0"/>
        <w:overflowPunct/>
        <w:topLinePunct/>
        <w:autoSpaceDE/>
        <w:autoSpaceDN/>
        <w:bidi w:val="0"/>
        <w:spacing w:line="400" w:lineRule="exact"/>
        <w:ind w:firstLine="840" w:firstLineChars="400"/>
        <w:textAlignment w:val="auto"/>
        <w:rPr>
          <w:rFonts w:hint="eastAsia" w:ascii="宋体" w:hAnsi="宋体" w:cs="宋体"/>
          <w:szCs w:val="28"/>
        </w:rPr>
      </w:pPr>
      <w:r>
        <w:rPr>
          <w:rFonts w:hint="eastAsia" w:ascii="宋体" w:hAnsi="宋体" w:cs="宋体"/>
          <w:szCs w:val="21"/>
        </w:rPr>
        <w:t>8.1）具有有效营业执照或事业单位法人证书；</w:t>
      </w:r>
    </w:p>
    <w:p>
      <w:pPr>
        <w:pageBreakBefore w:val="0"/>
        <w:kinsoku/>
        <w:wordWrap w:val="0"/>
        <w:overflowPunct/>
        <w:topLinePunct/>
        <w:autoSpaceDE/>
        <w:autoSpaceDN/>
        <w:bidi w:val="0"/>
        <w:snapToGrid w:val="0"/>
        <w:spacing w:line="400" w:lineRule="exact"/>
        <w:ind w:firstLine="840" w:firstLineChars="400"/>
        <w:textAlignment w:val="auto"/>
        <w:rPr>
          <w:rFonts w:hint="eastAsia" w:ascii="宋体" w:hAnsi="宋体" w:cs="宋体"/>
          <w:szCs w:val="21"/>
        </w:rPr>
      </w:pPr>
      <w:r>
        <w:rPr>
          <w:rFonts w:hint="eastAsia" w:ascii="宋体" w:hAnsi="宋体" w:cs="宋体"/>
          <w:szCs w:val="21"/>
        </w:rPr>
        <w:t>8.2）</w:t>
      </w:r>
      <w:r>
        <w:rPr>
          <w:rFonts w:hint="eastAsia" w:ascii="宋体" w:hAnsi="宋体" w:cs="宋体"/>
          <w:szCs w:val="28"/>
        </w:rPr>
        <w:t>具有本项目实施能力和良好的商业信誉；</w:t>
      </w:r>
    </w:p>
    <w:p>
      <w:pPr>
        <w:pageBreakBefore w:val="0"/>
        <w:kinsoku/>
        <w:wordWrap w:val="0"/>
        <w:overflowPunct/>
        <w:topLinePunct/>
        <w:autoSpaceDE/>
        <w:autoSpaceDN/>
        <w:bidi w:val="0"/>
        <w:snapToGrid w:val="0"/>
        <w:spacing w:line="400" w:lineRule="exact"/>
        <w:ind w:firstLine="840" w:firstLineChars="400"/>
        <w:textAlignment w:val="auto"/>
        <w:rPr>
          <w:rFonts w:hint="eastAsia" w:ascii="宋体" w:hAnsi="宋体" w:cs="宋体"/>
          <w:szCs w:val="21"/>
        </w:rPr>
      </w:pPr>
      <w:r>
        <w:rPr>
          <w:rFonts w:hint="eastAsia" w:ascii="宋体" w:hAnsi="宋体" w:cs="宋体"/>
          <w:szCs w:val="21"/>
        </w:rPr>
        <w:t>8.3）具有健全的财务会计制度；</w:t>
      </w:r>
    </w:p>
    <w:p>
      <w:pPr>
        <w:pageBreakBefore w:val="0"/>
        <w:kinsoku/>
        <w:wordWrap w:val="0"/>
        <w:overflowPunct/>
        <w:topLinePunct/>
        <w:autoSpaceDE/>
        <w:autoSpaceDN/>
        <w:bidi w:val="0"/>
        <w:snapToGrid w:val="0"/>
        <w:spacing w:line="400" w:lineRule="exact"/>
        <w:ind w:firstLine="840" w:firstLineChars="400"/>
        <w:textAlignment w:val="auto"/>
        <w:rPr>
          <w:rFonts w:hint="eastAsia" w:ascii="宋体" w:hAnsi="宋体" w:cs="宋体"/>
          <w:szCs w:val="21"/>
        </w:rPr>
      </w:pPr>
      <w:r>
        <w:rPr>
          <w:rFonts w:hint="eastAsia" w:ascii="宋体" w:hAnsi="宋体" w:cs="宋体"/>
          <w:szCs w:val="21"/>
        </w:rPr>
        <w:t>8.4）有依法缴纳税收和社会保障资金的良好记录；</w:t>
      </w:r>
    </w:p>
    <w:p>
      <w:pPr>
        <w:pageBreakBefore w:val="0"/>
        <w:kinsoku/>
        <w:wordWrap w:val="0"/>
        <w:overflowPunct/>
        <w:topLinePunct/>
        <w:autoSpaceDE/>
        <w:autoSpaceDN/>
        <w:bidi w:val="0"/>
        <w:snapToGrid w:val="0"/>
        <w:spacing w:line="400" w:lineRule="exact"/>
        <w:ind w:firstLine="632" w:firstLineChars="300"/>
        <w:textAlignment w:val="auto"/>
        <w:rPr>
          <w:rFonts w:hint="eastAsia" w:ascii="宋体" w:hAnsi="宋体" w:eastAsia="微软雅黑" w:cs="宋体"/>
          <w:b/>
          <w:bCs/>
          <w:szCs w:val="21"/>
        </w:rPr>
      </w:pPr>
      <w:r>
        <w:rPr>
          <w:rFonts w:hint="eastAsia" w:ascii="宋体" w:hAnsi="宋体" w:cs="宋体"/>
          <w:b/>
          <w:bCs/>
          <w:szCs w:val="21"/>
        </w:rPr>
        <w:t>以上8.1）∽8.4）材料为响应人</w:t>
      </w:r>
      <w:r>
        <w:rPr>
          <w:rFonts w:hint="eastAsia" w:ascii="宋体" w:hAnsi="宋体" w:cs="宋体"/>
          <w:b/>
          <w:bCs/>
          <w:szCs w:val="28"/>
        </w:rPr>
        <w:t>基本资格</w:t>
      </w:r>
      <w:r>
        <w:rPr>
          <w:rFonts w:hint="eastAsia" w:ascii="宋体" w:hAnsi="宋体" w:cs="宋体"/>
          <w:b/>
          <w:bCs/>
          <w:szCs w:val="21"/>
        </w:rPr>
        <w:t>审查材料，该部分的资格审查材料须提供承诺书面声明（</w:t>
      </w:r>
      <w:r>
        <w:rPr>
          <w:rFonts w:hint="eastAsia" w:ascii="宋体" w:hAnsi="宋体" w:cs="宋体"/>
          <w:b/>
          <w:bCs/>
          <w:szCs w:val="28"/>
          <w:highlight w:val="yellow"/>
        </w:rPr>
        <w:t>详见第</w:t>
      </w:r>
      <w:r>
        <w:rPr>
          <w:rFonts w:hint="eastAsia" w:ascii="宋体" w:hAnsi="宋体" w:cs="宋体"/>
          <w:b/>
          <w:bCs/>
          <w:szCs w:val="28"/>
          <w:highlight w:val="yellow"/>
          <w:lang w:val="en-US" w:eastAsia="zh-CN"/>
        </w:rPr>
        <w:t>六</w:t>
      </w:r>
      <w:r>
        <w:rPr>
          <w:rFonts w:hint="eastAsia" w:ascii="宋体" w:hAnsi="宋体" w:cs="宋体"/>
          <w:b/>
          <w:bCs/>
          <w:szCs w:val="28"/>
          <w:highlight w:val="yellow"/>
        </w:rPr>
        <w:t>部分-响应文件格式附件七</w:t>
      </w:r>
      <w:r>
        <w:rPr>
          <w:rFonts w:hint="eastAsia" w:ascii="宋体" w:hAnsi="宋体" w:cs="宋体"/>
          <w:b/>
          <w:bCs/>
        </w:rPr>
        <w:t>），响应人承诺须遵守《中华人民共和国政府采购法》第二十二、七十七条和《中华人民共和国政府采购法实施条例》第十七条之规定，如有违反，依法接受相应处罚。</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eastAsia="宋体" w:cs="宋体"/>
          <w:szCs w:val="21"/>
          <w:lang w:val="en-US" w:eastAsia="zh-CN"/>
        </w:rPr>
      </w:pPr>
      <w:r>
        <w:rPr>
          <w:rFonts w:hint="eastAsia" w:ascii="宋体" w:hAnsi="宋体" w:cs="宋体"/>
          <w:szCs w:val="21"/>
        </w:rPr>
        <w:t>（9）*响应人应具备的特殊要求：</w:t>
      </w:r>
      <w:r>
        <w:rPr>
          <w:rFonts w:hint="eastAsia" w:ascii="宋体" w:hAnsi="宋体" w:cs="宋体"/>
          <w:szCs w:val="21"/>
          <w:lang w:val="en-US" w:eastAsia="zh-CN"/>
        </w:rPr>
        <w:t>无</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10</w:t>
      </w:r>
      <w:r>
        <w:rPr>
          <w:rFonts w:hint="eastAsia" w:ascii="宋体" w:hAnsi="宋体" w:eastAsia="宋体" w:cs="宋体"/>
          <w:szCs w:val="21"/>
          <w:lang w:eastAsia="zh-CN"/>
        </w:rPr>
        <w:t>）</w:t>
      </w:r>
      <w:r>
        <w:rPr>
          <w:rFonts w:hint="eastAsia" w:ascii="宋体" w:hAnsi="宋体" w:eastAsia="宋体" w:cs="宋体"/>
          <w:szCs w:val="21"/>
        </w:rPr>
        <w:t>其他附件。</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color w:val="000000"/>
          <w:szCs w:val="21"/>
        </w:rPr>
      </w:pPr>
      <w:r>
        <w:rPr>
          <w:rFonts w:hint="eastAsia" w:ascii="宋体" w:hAnsi="宋体" w:cs="宋体"/>
          <w:szCs w:val="21"/>
        </w:rPr>
        <w:t>6.3</w:t>
      </w:r>
      <w:r>
        <w:rPr>
          <w:rFonts w:hint="eastAsia" w:ascii="宋体" w:hAnsi="宋体" w:cs="宋体"/>
          <w:color w:val="000000"/>
          <w:szCs w:val="21"/>
        </w:rPr>
        <w:t>响应报价</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（1）所有响应报价均以人民币元为计算单位。</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hint="eastAsia" w:ascii="宋体" w:hAnsi="宋体" w:cs="宋体"/>
          <w:b/>
          <w:bCs/>
          <w:color w:val="000000"/>
          <w:szCs w:val="21"/>
        </w:rPr>
        <w:t>本项目报价次数：二轮，响应文件中书面报价为首轮报价，第二轮报价不得超过首轮报价，第二轮报价即为最终报价；否则作无效响应文件处理。</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6.4项目技术和实施方案（如有）</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6.5小微企业、监狱企业、残疾人企业的相关材料（如属）；</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6.6其他评审相关材料：</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8"/>
        </w:rPr>
        <w:t>（1）</w:t>
      </w:r>
      <w:r>
        <w:rPr>
          <w:rFonts w:hint="eastAsia" w:ascii="宋体" w:hAnsi="宋体" w:cs="宋体"/>
          <w:color w:val="000000"/>
          <w:szCs w:val="21"/>
        </w:rPr>
        <w:t>响应人依据谈判文件要求提交的各类证明资料(要求“原件核查”的材料应当将原件（或公证件）在投标截止时间前随同响应文件一并提交以供核查，过时不予接收。)</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8"/>
        </w:rPr>
        <w:t>（2）</w:t>
      </w:r>
      <w:r>
        <w:rPr>
          <w:rFonts w:hint="eastAsia" w:ascii="宋体" w:hAnsi="宋体" w:cs="宋体"/>
          <w:color w:val="000000"/>
          <w:szCs w:val="21"/>
        </w:rPr>
        <w:t>其他需响应人对本次响应的详细说明（响应人视具体项目情况自行编制）；</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b/>
          <w:szCs w:val="21"/>
        </w:rPr>
        <w:t>七、响应人应认真检查谈判文件的内容是否齐全，如有遗漏，应及时向采购代理机构索取，否则责任自负。</w:t>
      </w:r>
      <w:bookmarkEnd w:id="60"/>
      <w:bookmarkEnd w:id="61"/>
      <w:bookmarkEnd w:id="62"/>
      <w:bookmarkStart w:id="63" w:name="_Toc288738801"/>
      <w:bookmarkStart w:id="64" w:name="_Toc288738407"/>
      <w:bookmarkStart w:id="65" w:name="_Toc288738333"/>
    </w:p>
    <w:p>
      <w:pPr>
        <w:pageBreakBefore w:val="0"/>
        <w:kinsoku/>
        <w:wordWrap w:val="0"/>
        <w:overflowPunct/>
        <w:topLinePunct/>
        <w:autoSpaceDE/>
        <w:autoSpaceDN/>
        <w:bidi w:val="0"/>
        <w:snapToGrid w:val="0"/>
        <w:spacing w:line="400" w:lineRule="exact"/>
        <w:textAlignment w:val="auto"/>
        <w:rPr>
          <w:rFonts w:hint="eastAsia" w:ascii="宋体" w:hAnsi="宋体" w:cs="宋体"/>
          <w:b/>
          <w:szCs w:val="21"/>
        </w:rPr>
      </w:pPr>
      <w:r>
        <w:rPr>
          <w:rFonts w:hint="eastAsia" w:ascii="宋体" w:hAnsi="宋体" w:cs="宋体"/>
          <w:b/>
          <w:szCs w:val="21"/>
        </w:rPr>
        <w:t>八、响应文件的制作应当符合以下要求</w:t>
      </w:r>
      <w:bookmarkEnd w:id="63"/>
      <w:bookmarkEnd w:id="64"/>
      <w:bookmarkEnd w:id="65"/>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bookmarkStart w:id="66" w:name="_Toc288738802"/>
      <w:bookmarkStart w:id="67" w:name="_Toc288738334"/>
      <w:bookmarkStart w:id="68" w:name="_Toc288738408"/>
      <w:r>
        <w:rPr>
          <w:rFonts w:hint="eastAsia" w:ascii="宋体" w:hAnsi="宋体" w:cs="宋体"/>
          <w:szCs w:val="21"/>
        </w:rPr>
        <w:t>8.1响应人应准备</w:t>
      </w:r>
      <w:r>
        <w:rPr>
          <w:rFonts w:hint="eastAsia" w:ascii="宋体" w:hAnsi="宋体" w:cs="宋体"/>
          <w:b/>
          <w:bCs/>
          <w:szCs w:val="21"/>
        </w:rPr>
        <w:t>响应文件的正本1套，副本2套</w:t>
      </w:r>
      <w:r>
        <w:rPr>
          <w:rFonts w:hint="eastAsia" w:ascii="宋体" w:hAnsi="宋体" w:cs="宋体"/>
          <w:szCs w:val="21"/>
        </w:rPr>
        <w:t>，响应文件的正本和副本均需打印或使用不褪色的蓝、黑墨水笔书写，字迹应清晰易于辨认，并应在响应文件封面的右上角清楚地注明“正本”或“副本”。正本和副本如有不一致之处，以正本为准。</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8.2响应文件由响应人按给定格式如实填写（编写），须有法人、法定代表人或法定代表人授权代表签字（盖章），方为有效，否则作无效响应文件处理。副本可通过正本复印并在规定地方加盖公章。</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8.3响应人违反上述规定的，其响应文件将被作为无效响应文件处理，不予拆封和参加评审。</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8.4全套响应文件应无修改和行间插字。</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8.5投标报价清晰准确，不存在影响其他响应人评分的严重错误。</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8.6所有文件、往来函件均应使用简体中文（规格、型号辅助符号例外）。</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8.7响应人投标一律以人民币为投标结算货币,结算单位为“元”。</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8.8响应文件格式部分，应由响应人按给定格式提供，不得更改，否则视为无效响应文件处理。</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8.9响应文件不应有涂改、增删和潦草之处，如有必须修改时，修改处必须有法人、法定代表人或法定代表人授权代表的签字和盖章。</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pageBreakBefore w:val="0"/>
        <w:kinsoku/>
        <w:wordWrap w:val="0"/>
        <w:overflowPunct/>
        <w:topLinePunct/>
        <w:autoSpaceDE/>
        <w:autoSpaceDN/>
        <w:bidi w:val="0"/>
        <w:snapToGrid w:val="0"/>
        <w:spacing w:line="400" w:lineRule="exact"/>
        <w:textAlignment w:val="auto"/>
        <w:rPr>
          <w:rFonts w:hint="eastAsia" w:ascii="宋体" w:hAnsi="宋体" w:cs="宋体"/>
          <w:b/>
          <w:bCs/>
          <w:szCs w:val="21"/>
        </w:rPr>
      </w:pPr>
      <w:r>
        <w:rPr>
          <w:rFonts w:hint="eastAsia" w:ascii="宋体" w:hAnsi="宋体" w:cs="宋体"/>
          <w:b/>
          <w:bCs/>
          <w:szCs w:val="21"/>
        </w:rPr>
        <w:t>九、在响应文件提交截止时间之前的密封完好的响应文件可以接受。</w:t>
      </w:r>
      <w:bookmarkEnd w:id="66"/>
      <w:bookmarkEnd w:id="67"/>
      <w:bookmarkEnd w:id="68"/>
    </w:p>
    <w:p>
      <w:pPr>
        <w:pageBreakBefore w:val="0"/>
        <w:kinsoku/>
        <w:wordWrap w:val="0"/>
        <w:overflowPunct/>
        <w:topLinePunct/>
        <w:autoSpaceDE/>
        <w:autoSpaceDN/>
        <w:bidi w:val="0"/>
        <w:snapToGrid w:val="0"/>
        <w:spacing w:line="400" w:lineRule="exact"/>
        <w:textAlignment w:val="auto"/>
        <w:rPr>
          <w:rFonts w:hint="eastAsia" w:ascii="宋体" w:hAnsi="宋体" w:cs="宋体"/>
          <w:b/>
          <w:bCs/>
          <w:szCs w:val="21"/>
        </w:rPr>
      </w:pPr>
      <w:bookmarkStart w:id="69" w:name="_Toc288738335"/>
      <w:bookmarkStart w:id="70" w:name="_Toc288738803"/>
      <w:bookmarkStart w:id="71" w:name="_Toc288738409"/>
      <w:r>
        <w:rPr>
          <w:rFonts w:hint="eastAsia" w:ascii="宋体" w:hAnsi="宋体" w:cs="宋体"/>
          <w:b/>
          <w:bCs/>
          <w:szCs w:val="21"/>
        </w:rPr>
        <w:t>十、谈判保证金</w:t>
      </w:r>
      <w:bookmarkEnd w:id="69"/>
      <w:bookmarkEnd w:id="70"/>
      <w:bookmarkEnd w:id="71"/>
      <w:r>
        <w:rPr>
          <w:rFonts w:hint="eastAsia" w:ascii="宋体" w:hAnsi="宋体" w:cs="宋体"/>
          <w:b/>
          <w:bCs/>
          <w:szCs w:val="21"/>
        </w:rPr>
        <w:t>：无</w:t>
      </w:r>
    </w:p>
    <w:p>
      <w:pPr>
        <w:pageBreakBefore w:val="0"/>
        <w:kinsoku/>
        <w:wordWrap w:val="0"/>
        <w:overflowPunct/>
        <w:topLinePunct/>
        <w:autoSpaceDE/>
        <w:autoSpaceDN/>
        <w:bidi w:val="0"/>
        <w:snapToGrid w:val="0"/>
        <w:spacing w:line="400" w:lineRule="exact"/>
        <w:textAlignment w:val="auto"/>
        <w:rPr>
          <w:rFonts w:hint="eastAsia" w:ascii="宋体" w:hAnsi="宋体" w:cs="宋体"/>
          <w:b/>
          <w:szCs w:val="21"/>
        </w:rPr>
      </w:pPr>
      <w:bookmarkStart w:id="72" w:name="_Toc288738337"/>
      <w:bookmarkStart w:id="73" w:name="_Toc288738411"/>
      <w:bookmarkStart w:id="74" w:name="_Toc288738805"/>
      <w:r>
        <w:rPr>
          <w:rFonts w:hint="eastAsia" w:ascii="宋体" w:hAnsi="宋体" w:cs="宋体"/>
          <w:b/>
          <w:szCs w:val="21"/>
        </w:rPr>
        <w:t>十一、响应文件的密封与标志</w:t>
      </w:r>
      <w:bookmarkEnd w:id="72"/>
      <w:bookmarkEnd w:id="73"/>
      <w:bookmarkEnd w:id="74"/>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szCs w:val="21"/>
        </w:rPr>
      </w:pPr>
      <w:bookmarkStart w:id="75" w:name="_Toc288738412"/>
      <w:bookmarkStart w:id="76" w:name="_Toc288738338"/>
      <w:bookmarkStart w:id="77" w:name="_Toc288738806"/>
      <w:r>
        <w:rPr>
          <w:rFonts w:hint="eastAsia" w:ascii="宋体" w:hAnsi="宋体" w:cs="宋体"/>
          <w:szCs w:val="21"/>
        </w:rPr>
        <w:t>11.1响应人应将响应文件密封。</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szCs w:val="21"/>
        </w:rPr>
      </w:pPr>
      <w:r>
        <w:rPr>
          <w:rFonts w:hint="eastAsia" w:ascii="宋体" w:hAnsi="宋体" w:cs="宋体"/>
          <w:szCs w:val="21"/>
        </w:rPr>
        <w:t>11.2所有封袋上都应写明响应人名称、采购项目名称，采购项目编号，年月日，加盖响应人公章。</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
          <w:szCs w:val="21"/>
        </w:rPr>
      </w:pPr>
      <w:r>
        <w:rPr>
          <w:rFonts w:hint="eastAsia" w:ascii="宋体" w:hAnsi="宋体" w:cs="宋体"/>
          <w:szCs w:val="21"/>
        </w:rPr>
        <w:t>11.3响应人违反上述规定的，其响应文件将被作为无效响应文件，不予拆封和参加评审。</w:t>
      </w:r>
    </w:p>
    <w:p>
      <w:pPr>
        <w:pageBreakBefore w:val="0"/>
        <w:kinsoku/>
        <w:wordWrap w:val="0"/>
        <w:overflowPunct/>
        <w:topLinePunct/>
        <w:autoSpaceDE/>
        <w:autoSpaceDN/>
        <w:bidi w:val="0"/>
        <w:snapToGrid w:val="0"/>
        <w:spacing w:line="400" w:lineRule="exact"/>
        <w:textAlignment w:val="auto"/>
        <w:rPr>
          <w:rFonts w:hint="eastAsia" w:ascii="宋体" w:hAnsi="宋体" w:cs="宋体"/>
          <w:b/>
          <w:szCs w:val="21"/>
        </w:rPr>
      </w:pPr>
      <w:r>
        <w:rPr>
          <w:rFonts w:hint="eastAsia" w:ascii="宋体" w:hAnsi="宋体" w:cs="宋体"/>
          <w:b/>
          <w:szCs w:val="21"/>
        </w:rPr>
        <w:t>十二、响应文件提交，截止时间和地</w:t>
      </w:r>
      <w:bookmarkEnd w:id="75"/>
      <w:bookmarkEnd w:id="76"/>
      <w:bookmarkEnd w:id="77"/>
      <w:r>
        <w:rPr>
          <w:rFonts w:hint="eastAsia" w:ascii="宋体" w:hAnsi="宋体" w:cs="宋体"/>
          <w:b/>
          <w:szCs w:val="21"/>
        </w:rPr>
        <w:t>点</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szCs w:val="21"/>
        </w:rPr>
      </w:pPr>
      <w:r>
        <w:rPr>
          <w:rFonts w:hint="eastAsia" w:ascii="宋体" w:hAnsi="宋体" w:cs="宋体"/>
          <w:szCs w:val="21"/>
        </w:rPr>
        <w:t>12.1响应人须在竞争性谈判采购公告规定的响应文件提交截止时间之前在指定地点将响应文件提交给采购代理机构。</w:t>
      </w:r>
    </w:p>
    <w:p>
      <w:pPr>
        <w:pageBreakBefore w:val="0"/>
        <w:kinsoku/>
        <w:wordWrap w:val="0"/>
        <w:overflowPunct/>
        <w:topLinePunct/>
        <w:autoSpaceDE/>
        <w:autoSpaceDN/>
        <w:bidi w:val="0"/>
        <w:spacing w:line="400" w:lineRule="exact"/>
        <w:ind w:firstLine="644" w:firstLineChars="300"/>
        <w:textAlignment w:val="auto"/>
        <w:rPr>
          <w:rFonts w:hint="eastAsia" w:ascii="宋体" w:hAnsi="宋体" w:cs="宋体"/>
          <w:b/>
          <w:szCs w:val="21"/>
        </w:rPr>
      </w:pPr>
      <w:r>
        <w:rPr>
          <w:rFonts w:hint="eastAsia" w:ascii="宋体" w:hAnsi="宋体" w:cs="宋体"/>
          <w:b/>
          <w:spacing w:val="2"/>
          <w:szCs w:val="21"/>
        </w:rPr>
        <w:t>12.2响应人在提交响应文件时须提供法定代表人或代理人身份证原件（</w:t>
      </w:r>
      <w:r>
        <w:rPr>
          <w:rFonts w:hint="eastAsia" w:ascii="宋体" w:hAnsi="宋体" w:cs="宋体"/>
          <w:b/>
          <w:bCs/>
          <w:szCs w:val="21"/>
        </w:rPr>
        <w:t>若身份证遗失的，可提供临时身份证或居民户口簿</w:t>
      </w:r>
      <w:r>
        <w:rPr>
          <w:rFonts w:hint="eastAsia" w:ascii="宋体" w:hAnsi="宋体" w:cs="宋体"/>
          <w:b/>
          <w:spacing w:val="2"/>
          <w:szCs w:val="21"/>
        </w:rPr>
        <w:t>），未提供的，采购代理机构不接受其响应文件，不予参加谈判和评审。</w:t>
      </w:r>
      <w:bookmarkStart w:id="78" w:name="_Toc288738413"/>
      <w:bookmarkStart w:id="79" w:name="_Toc288738807"/>
      <w:bookmarkStart w:id="80" w:name="_Toc288738339"/>
    </w:p>
    <w:p>
      <w:pPr>
        <w:pageBreakBefore w:val="0"/>
        <w:kinsoku/>
        <w:wordWrap w:val="0"/>
        <w:overflowPunct/>
        <w:topLinePunct/>
        <w:autoSpaceDE/>
        <w:autoSpaceDN/>
        <w:bidi w:val="0"/>
        <w:snapToGrid w:val="0"/>
        <w:spacing w:line="400" w:lineRule="exact"/>
        <w:textAlignment w:val="auto"/>
        <w:rPr>
          <w:rFonts w:hint="eastAsia" w:ascii="宋体" w:hAnsi="宋体" w:cs="宋体"/>
          <w:b/>
          <w:szCs w:val="21"/>
        </w:rPr>
      </w:pPr>
      <w:r>
        <w:rPr>
          <w:rFonts w:hint="eastAsia" w:ascii="宋体" w:hAnsi="宋体" w:cs="宋体"/>
          <w:b/>
          <w:szCs w:val="21"/>
        </w:rPr>
        <w:t>十三、响应文件的修改和撤回</w:t>
      </w:r>
      <w:bookmarkEnd w:id="78"/>
      <w:bookmarkEnd w:id="79"/>
      <w:bookmarkEnd w:id="80"/>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
          <w:szCs w:val="21"/>
        </w:rPr>
      </w:pPr>
      <w:r>
        <w:rPr>
          <w:rFonts w:hint="eastAsia" w:ascii="宋体" w:hAnsi="宋体" w:cs="宋体"/>
          <w:szCs w:val="21"/>
        </w:rPr>
        <w:t>13.1在响应文件提交截止时间之前，响应人可以对所提交的响应文件进行修改和撤回，但所提交的修改或撤回通知必须按谈判文件的规定进行编制、密封、标志（在包封上标明“修改”或“撤回”字样，并注</w:t>
      </w:r>
      <w:r>
        <w:rPr>
          <w:rFonts w:hint="eastAsia" w:ascii="宋体" w:hAnsi="宋体" w:cs="宋体"/>
          <w:b/>
          <w:szCs w:val="21"/>
        </w:rPr>
        <w:t>明修改或撤回的时间）和提交。响应文件提交截止时间之后，响应人不得修改或撤回响应文件。</w:t>
      </w:r>
      <w:bookmarkStart w:id="81" w:name="_Toc471819247"/>
      <w:bookmarkStart w:id="82" w:name="_Toc288738340"/>
      <w:bookmarkStart w:id="83" w:name="_Toc288738808"/>
    </w:p>
    <w:bookmarkEnd w:id="2"/>
    <w:bookmarkEnd w:id="3"/>
    <w:bookmarkEnd w:id="81"/>
    <w:bookmarkEnd w:id="82"/>
    <w:bookmarkEnd w:id="83"/>
    <w:p>
      <w:pPr>
        <w:pageBreakBefore w:val="0"/>
        <w:kinsoku/>
        <w:wordWrap w:val="0"/>
        <w:overflowPunct/>
        <w:topLinePunct/>
        <w:autoSpaceDE/>
        <w:autoSpaceDN/>
        <w:bidi w:val="0"/>
        <w:snapToGrid w:val="0"/>
        <w:spacing w:line="400" w:lineRule="exact"/>
        <w:textAlignment w:val="auto"/>
        <w:rPr>
          <w:rFonts w:hint="eastAsia" w:ascii="宋体" w:hAnsi="宋体" w:cs="宋体"/>
          <w:b/>
          <w:szCs w:val="21"/>
        </w:rPr>
      </w:pPr>
      <w:bookmarkStart w:id="84" w:name="_Toc288738812"/>
      <w:bookmarkStart w:id="85" w:name="_Toc288738344"/>
      <w:bookmarkStart w:id="86" w:name="_Toc288738418"/>
      <w:r>
        <w:rPr>
          <w:rFonts w:hint="eastAsia" w:ascii="宋体" w:hAnsi="宋体" w:cs="宋体"/>
          <w:b/>
          <w:szCs w:val="21"/>
        </w:rPr>
        <w:t>十四、响应文件的有效期</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bCs/>
          <w:szCs w:val="21"/>
        </w:rPr>
        <w:t>14.1本项目响应文件的有效期</w:t>
      </w:r>
      <w:r>
        <w:rPr>
          <w:rFonts w:hint="eastAsia" w:ascii="宋体" w:hAnsi="宋体" w:cs="宋体"/>
          <w:b/>
          <w:szCs w:val="21"/>
        </w:rPr>
        <w:t>详见响应人须知前附表第17条</w:t>
      </w:r>
      <w:r>
        <w:rPr>
          <w:rFonts w:hint="eastAsia" w:ascii="宋体" w:hAnsi="宋体" w:cs="宋体"/>
          <w:bCs/>
          <w:szCs w:val="21"/>
        </w:rPr>
        <w:t>。响应截止时间后，响应人在响应有效期内不得撤销响应文件。</w:t>
      </w: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bCs/>
          <w:szCs w:val="21"/>
        </w:rPr>
      </w:pPr>
      <w:r>
        <w:rPr>
          <w:rFonts w:hint="eastAsia" w:ascii="宋体" w:hAnsi="宋体" w:cs="宋体"/>
          <w:bCs/>
          <w:szCs w:val="21"/>
        </w:rPr>
        <w:t>14.2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pageBreakBefore w:val="0"/>
        <w:kinsoku/>
        <w:wordWrap w:val="0"/>
        <w:overflowPunct/>
        <w:topLinePunct/>
        <w:autoSpaceDE/>
        <w:autoSpaceDN/>
        <w:bidi w:val="0"/>
        <w:snapToGrid w:val="0"/>
        <w:spacing w:line="400" w:lineRule="exact"/>
        <w:textAlignment w:val="auto"/>
        <w:rPr>
          <w:rFonts w:hint="eastAsia" w:ascii="宋体" w:hAnsi="宋体" w:cs="宋体"/>
          <w:b/>
          <w:color w:val="000000"/>
          <w:szCs w:val="21"/>
        </w:rPr>
      </w:pPr>
      <w:r>
        <w:rPr>
          <w:rFonts w:hint="eastAsia" w:ascii="宋体" w:hAnsi="宋体" w:cs="宋体"/>
          <w:b/>
          <w:color w:val="000000"/>
          <w:szCs w:val="21"/>
        </w:rPr>
        <w:t>十五、评审、评定成交方法</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15.1根据质量和服务均能满足谈判文件实质性响应要求且最终报价最低的原则确定成交供应商；在符合上述要求的情况下，若有两个或两个以上的最低报价，则由采购人代表现场随机抽签确定成交供应商。</w:t>
      </w:r>
    </w:p>
    <w:p>
      <w:pPr>
        <w:pageBreakBefore w:val="0"/>
        <w:kinsoku/>
        <w:wordWrap w:val="0"/>
        <w:overflowPunct/>
        <w:topLinePunct/>
        <w:autoSpaceDE/>
        <w:autoSpaceDN/>
        <w:bidi w:val="0"/>
        <w:snapToGrid w:val="0"/>
        <w:spacing w:line="400" w:lineRule="exact"/>
        <w:ind w:firstLine="420" w:firstLineChars="200"/>
        <w:textAlignment w:val="auto"/>
        <w:rPr>
          <w:rFonts w:ascii="宋体" w:hAnsi="宋体" w:cs="宋体"/>
          <w:b/>
          <w:color w:val="000000"/>
          <w:szCs w:val="21"/>
        </w:rPr>
      </w:pPr>
      <w:r>
        <w:rPr>
          <w:rFonts w:hint="eastAsia" w:ascii="宋体" w:hAnsi="宋体" w:cs="宋体"/>
          <w:color w:val="000000"/>
          <w:szCs w:val="21"/>
        </w:rPr>
        <w:t>15.2因落实政府采购政策进行价格调整的，以调整后的</w:t>
      </w:r>
      <w:r>
        <w:rPr>
          <w:rFonts w:hint="eastAsia" w:ascii="宋体" w:hAnsi="宋体" w:cs="宋体"/>
          <w:bCs/>
          <w:color w:val="000000"/>
          <w:szCs w:val="21"/>
        </w:rPr>
        <w:t>价格计算评标基准价和响应报价。根据《政府采购促进中小企业发展暂行办法》等相关规定，对于非专门面向中小企业的项目，对小型和微型企业产品的价格给予</w:t>
      </w:r>
      <w:r>
        <w:rPr>
          <w:rFonts w:hint="eastAsia" w:ascii="宋体" w:hAnsi="宋体" w:cs="宋体"/>
          <w:bCs/>
          <w:color w:val="000000"/>
          <w:szCs w:val="21"/>
          <w:lang w:val="en-US" w:eastAsia="zh-CN"/>
        </w:rPr>
        <w:t>3</w:t>
      </w:r>
      <w:r>
        <w:rPr>
          <w:rFonts w:hint="eastAsia" w:ascii="宋体" w:hAnsi="宋体" w:cs="宋体"/>
          <w:bCs/>
          <w:color w:val="000000"/>
          <w:szCs w:val="21"/>
        </w:rPr>
        <w:t>-</w:t>
      </w:r>
      <w:r>
        <w:rPr>
          <w:rFonts w:hint="eastAsia" w:ascii="宋体" w:hAnsi="宋体" w:cs="宋体"/>
          <w:bCs/>
          <w:color w:val="000000"/>
          <w:szCs w:val="21"/>
          <w:lang w:val="en-US" w:eastAsia="zh-CN"/>
        </w:rPr>
        <w:t>5</w:t>
      </w:r>
      <w:r>
        <w:rPr>
          <w:rFonts w:hint="eastAsia" w:ascii="宋体" w:hAnsi="宋体" w:cs="宋体"/>
          <w:bCs/>
          <w:color w:val="000000"/>
          <w:szCs w:val="21"/>
        </w:rPr>
        <w:t>%的扣除，用扣除后的价格参与评审，具体扣除的比例</w:t>
      </w:r>
      <w:r>
        <w:rPr>
          <w:rFonts w:hint="eastAsia" w:ascii="宋体" w:hAnsi="宋体" w:cs="宋体"/>
          <w:b/>
          <w:color w:val="000000"/>
          <w:szCs w:val="21"/>
        </w:rPr>
        <w:t>详见响应人须知前附表第19条</w:t>
      </w:r>
      <w:r>
        <w:rPr>
          <w:rFonts w:hint="eastAsia" w:ascii="宋体" w:hAnsi="宋体" w:cs="宋体"/>
          <w:bCs/>
          <w:color w:val="000000"/>
          <w:szCs w:val="21"/>
        </w:rPr>
        <w:t>。</w:t>
      </w:r>
    </w:p>
    <w:bookmarkEnd w:id="84"/>
    <w:bookmarkEnd w:id="85"/>
    <w:bookmarkEnd w:id="86"/>
    <w:p>
      <w:pPr>
        <w:pageBreakBefore w:val="0"/>
        <w:kinsoku/>
        <w:wordWrap w:val="0"/>
        <w:overflowPunct/>
        <w:topLinePunct/>
        <w:autoSpaceDE/>
        <w:autoSpaceDN/>
        <w:bidi w:val="0"/>
        <w:spacing w:line="400" w:lineRule="exact"/>
        <w:textAlignment w:val="auto"/>
        <w:rPr>
          <w:rFonts w:hint="eastAsia" w:ascii="宋体" w:hAnsi="宋体" w:cs="宋体"/>
          <w:b/>
          <w:szCs w:val="21"/>
        </w:rPr>
      </w:pPr>
      <w:bookmarkStart w:id="87" w:name="_Toc288738419"/>
      <w:bookmarkStart w:id="88" w:name="_Toc288738345"/>
      <w:bookmarkStart w:id="89" w:name="_Toc288738813"/>
      <w:r>
        <w:rPr>
          <w:rFonts w:hint="eastAsia" w:ascii="宋体" w:hAnsi="宋体" w:cs="宋体"/>
          <w:b/>
          <w:szCs w:val="21"/>
        </w:rPr>
        <w:t>十六、</w:t>
      </w:r>
      <w:bookmarkEnd w:id="87"/>
      <w:bookmarkEnd w:id="88"/>
      <w:bookmarkEnd w:id="89"/>
      <w:bookmarkStart w:id="90" w:name="_Toc288738814"/>
      <w:bookmarkStart w:id="91" w:name="_Toc288738346"/>
      <w:bookmarkStart w:id="92" w:name="_Toc288738420"/>
      <w:r>
        <w:rPr>
          <w:rFonts w:hint="eastAsia" w:ascii="宋体" w:hAnsi="宋体" w:cs="宋体"/>
          <w:b/>
          <w:szCs w:val="21"/>
        </w:rPr>
        <w:t>谈判及评审程序</w:t>
      </w:r>
    </w:p>
    <w:bookmarkEnd w:id="90"/>
    <w:bookmarkEnd w:id="91"/>
    <w:bookmarkEnd w:id="92"/>
    <w:p>
      <w:pPr>
        <w:pageBreakBefore w:val="0"/>
        <w:kinsoku/>
        <w:wordWrap w:val="0"/>
        <w:overflowPunct/>
        <w:topLinePunct/>
        <w:autoSpaceDE/>
        <w:autoSpaceDN/>
        <w:bidi w:val="0"/>
        <w:spacing w:line="400" w:lineRule="exact"/>
        <w:ind w:firstLine="420"/>
        <w:textAlignment w:val="auto"/>
        <w:rPr>
          <w:rFonts w:hint="eastAsia" w:ascii="宋体" w:hAnsi="宋体" w:cs="宋体"/>
          <w:b/>
          <w:szCs w:val="21"/>
          <w:u w:val="single"/>
        </w:rPr>
      </w:pPr>
      <w:bookmarkStart w:id="93" w:name="_Toc288738817"/>
      <w:bookmarkStart w:id="94" w:name="_Toc288738423"/>
      <w:bookmarkStart w:id="95" w:name="_Toc288738349"/>
      <w:r>
        <w:rPr>
          <w:rFonts w:hint="eastAsia" w:ascii="宋体" w:hAnsi="宋体" w:cs="宋体"/>
          <w:szCs w:val="21"/>
        </w:rPr>
        <w:t>16.1成立谈判小组。采购代理机构根据有关法律法规和本谈判文件的规定，结合本谈判项目的特点组建谈判小组，对具备实质性响应的响应文件进行评估和比较。谈判小组由三人以上单数组成，其中经济、技术等方面的专家不少于谈判小组成员总数的三分之二。</w:t>
      </w:r>
    </w:p>
    <w:p>
      <w:pPr>
        <w:pStyle w:val="13"/>
        <w:pageBreakBefore w:val="0"/>
        <w:kinsoku/>
        <w:wordWrap w:val="0"/>
        <w:overflowPunct/>
        <w:topLinePunct/>
        <w:autoSpaceDE/>
        <w:autoSpaceDN/>
        <w:bidi w:val="0"/>
        <w:spacing w:line="400" w:lineRule="exact"/>
        <w:ind w:firstLine="420"/>
        <w:textAlignment w:val="auto"/>
        <w:rPr>
          <w:rFonts w:hint="eastAsia" w:hAnsi="宋体" w:cs="宋体"/>
          <w:sz w:val="21"/>
          <w:szCs w:val="21"/>
        </w:rPr>
      </w:pPr>
      <w:r>
        <w:rPr>
          <w:rFonts w:hint="eastAsia" w:hAnsi="宋体" w:cs="宋体"/>
          <w:sz w:val="21"/>
          <w:szCs w:val="21"/>
        </w:rPr>
        <w:t>16.2采购代理机构将按</w:t>
      </w:r>
      <w:r>
        <w:rPr>
          <w:rFonts w:hint="eastAsia" w:hAnsi="宋体" w:cs="宋体"/>
          <w:b/>
          <w:bCs/>
          <w:sz w:val="21"/>
          <w:szCs w:val="21"/>
        </w:rPr>
        <w:t>第一部分采购邀请中</w:t>
      </w:r>
      <w:r>
        <w:rPr>
          <w:rFonts w:hint="eastAsia" w:hAnsi="宋体" w:cs="宋体"/>
          <w:sz w:val="21"/>
          <w:szCs w:val="21"/>
        </w:rPr>
        <w:t>规定的时间和地点举行谈判会议，响应人的法定代表人或其代理人须参加谈判会议。</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16.3谈判会议由采购代理机构组织并主持，由</w:t>
      </w:r>
      <w:r>
        <w:rPr>
          <w:rFonts w:hint="eastAsia" w:ascii="宋体" w:hAnsi="宋体" w:cs="宋体"/>
          <w:szCs w:val="21"/>
        </w:rPr>
        <w:t>响应人</w:t>
      </w:r>
      <w:r>
        <w:rPr>
          <w:rFonts w:hint="eastAsia" w:ascii="宋体" w:hAnsi="宋体" w:cs="宋体"/>
          <w:spacing w:val="2"/>
          <w:szCs w:val="21"/>
        </w:rPr>
        <w:t>或者其推选的代表检查响应文件的密封情况；对响应文件进行检查，确认是否完整，文件签署是否正确，是否按本须知编制。</w:t>
      </w:r>
    </w:p>
    <w:p>
      <w:pPr>
        <w:pageBreakBefore w:val="0"/>
        <w:kinsoku/>
        <w:wordWrap w:val="0"/>
        <w:overflowPunct/>
        <w:topLinePunct/>
        <w:autoSpaceDE/>
        <w:autoSpaceDN/>
        <w:bidi w:val="0"/>
        <w:spacing w:line="400" w:lineRule="exact"/>
        <w:ind w:firstLine="428"/>
        <w:textAlignment w:val="auto"/>
        <w:rPr>
          <w:rFonts w:hint="eastAsia" w:ascii="宋体" w:hAnsi="宋体" w:cs="宋体"/>
          <w:spacing w:val="2"/>
          <w:szCs w:val="21"/>
        </w:rPr>
      </w:pPr>
      <w:r>
        <w:rPr>
          <w:rFonts w:hint="eastAsia" w:ascii="宋体" w:hAnsi="宋体" w:cs="宋体"/>
          <w:spacing w:val="2"/>
          <w:szCs w:val="21"/>
        </w:rPr>
        <w:t>16.4经确认无误后，由采购人或者采购代理机构工作人员当众宣布响应文件密封性核查结果；</w:t>
      </w:r>
    </w:p>
    <w:p>
      <w:pPr>
        <w:pageBreakBefore w:val="0"/>
        <w:kinsoku/>
        <w:wordWrap w:val="0"/>
        <w:overflowPunct/>
        <w:topLinePunct/>
        <w:autoSpaceDE/>
        <w:autoSpaceDN/>
        <w:bidi w:val="0"/>
        <w:spacing w:line="400" w:lineRule="exact"/>
        <w:ind w:firstLine="428"/>
        <w:textAlignment w:val="auto"/>
        <w:rPr>
          <w:rFonts w:hint="eastAsia" w:ascii="宋体" w:hAnsi="宋体" w:cs="宋体"/>
          <w:spacing w:val="2"/>
          <w:szCs w:val="21"/>
        </w:rPr>
      </w:pPr>
      <w:r>
        <w:rPr>
          <w:rFonts w:hint="eastAsia" w:ascii="宋体" w:hAnsi="宋体" w:cs="宋体"/>
          <w:spacing w:val="2"/>
          <w:szCs w:val="21"/>
        </w:rPr>
        <w:t>16.5</w:t>
      </w:r>
      <w:r>
        <w:rPr>
          <w:rFonts w:hint="eastAsia" w:ascii="宋体" w:hAnsi="宋体" w:cs="宋体"/>
          <w:szCs w:val="21"/>
        </w:rPr>
        <w:t>响应人</w:t>
      </w:r>
      <w:r>
        <w:rPr>
          <w:rFonts w:hint="eastAsia" w:ascii="宋体" w:hAnsi="宋体" w:cs="宋体"/>
          <w:spacing w:val="2"/>
          <w:szCs w:val="21"/>
        </w:rPr>
        <w:t>法定代表人或代理人在评审结果宣布前，未经同意不得擅自离开采购代理机构；</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16.6拆封响应文件；</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16.7谈判小组检验已开封的竞标文件是否符合谈判文件有关规定，是否完整，文件签署是否正确；</w:t>
      </w:r>
      <w:r>
        <w:rPr>
          <w:rFonts w:hint="eastAsia" w:ascii="宋体" w:hAnsi="宋体" w:cs="宋体"/>
          <w:szCs w:val="21"/>
        </w:rPr>
        <w:t>谈判小组</w:t>
      </w:r>
      <w:r>
        <w:rPr>
          <w:rFonts w:hint="eastAsia" w:ascii="宋体" w:hAnsi="宋体" w:cs="宋体"/>
          <w:spacing w:val="2"/>
          <w:szCs w:val="21"/>
        </w:rPr>
        <w:t>依据谈判文件规定进行资格审查、有效性审查，审查每份响应文件是否实质上响应了谈判文件的要求；</w:t>
      </w:r>
    </w:p>
    <w:p>
      <w:pPr>
        <w:pageBreakBefore w:val="0"/>
        <w:kinsoku/>
        <w:wordWrap w:val="0"/>
        <w:overflowPunct/>
        <w:topLinePunct/>
        <w:autoSpaceDE/>
        <w:autoSpaceDN/>
        <w:bidi w:val="0"/>
        <w:spacing w:line="400" w:lineRule="exact"/>
        <w:ind w:firstLine="428"/>
        <w:textAlignment w:val="auto"/>
        <w:rPr>
          <w:rFonts w:hint="eastAsia" w:ascii="宋体" w:hAnsi="宋体" w:cs="宋体"/>
          <w:spacing w:val="2"/>
          <w:szCs w:val="21"/>
        </w:rPr>
      </w:pPr>
      <w:r>
        <w:rPr>
          <w:rFonts w:hint="eastAsia" w:ascii="宋体" w:hAnsi="宋体" w:cs="宋体"/>
          <w:spacing w:val="2"/>
          <w:szCs w:val="21"/>
        </w:rPr>
        <w:t>（1）实质上响应的响应是指与谈判文件的主要条款、条件和规格相符，没有重大偏离或保留。</w:t>
      </w:r>
    </w:p>
    <w:p>
      <w:pPr>
        <w:pageBreakBefore w:val="0"/>
        <w:kinsoku/>
        <w:wordWrap w:val="0"/>
        <w:overflowPunct/>
        <w:topLinePunct/>
        <w:autoSpaceDE/>
        <w:autoSpaceDN/>
        <w:bidi w:val="0"/>
        <w:spacing w:line="400" w:lineRule="exact"/>
        <w:ind w:firstLine="428"/>
        <w:textAlignment w:val="auto"/>
        <w:rPr>
          <w:rFonts w:hint="eastAsia" w:ascii="宋体" w:hAnsi="宋体" w:cs="宋体"/>
          <w:spacing w:val="2"/>
          <w:szCs w:val="21"/>
        </w:rPr>
      </w:pPr>
      <w:r>
        <w:rPr>
          <w:rFonts w:hint="eastAsia" w:ascii="宋体" w:hAnsi="宋体" w:cs="宋体"/>
          <w:spacing w:val="2"/>
          <w:szCs w:val="21"/>
        </w:rPr>
        <w:t>（2）重大偏离或保留系指响应产品的质量、数量和交货期限等明显不能满足谈判文件的要求，或者实质上与谈判文件不一致，而且限制了采购人的权利或响应人的义务，纠正这些偏离或保留将对其他实质上响应要求的响应人的竞争地位产生不公正的影响。包括但不限于：</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a.应当交纳响应保证金的响应人未提交响应保证金或金额不足的；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b.本文件“响应人须知”“响应文件组成及相关要求”部分中，带*的资格证明文件不全或无效的；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c.响应文件未按谈判文件的规定密封、签署、盖章的；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d.响应有效期不足的；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e.响应产品性能、规格、数量、交货时间、货物包装方式、检验标准和方法、售后服务承诺等不满足谈判文件中的相关要求和超出采购人可接受的偏差范围的；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f.未按照谈判文件规定报价的；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g.不符合谈判文件有关分包、转包规定的；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h.联合体响应文件未附联合体响应协议书的（如有）；</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i.响应文件附有采购人不能接受的条件；</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j.投标文件的已标价工程量清单与招标文件提供的工程量清单中的项目编码、项目名称、项目特征、计量单位、工程量不一致的；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k.投标报价中任一项目综合单价为0、负数、缺项的；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 xml:space="preserve">l.改变招标文件规定的暂定价格或不可竟争费用的；   </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m.投标单价超过控制单价或投标总价超过采购最高限价的；</w:t>
      </w:r>
    </w:p>
    <w:p>
      <w:pPr>
        <w:pageBreakBefore w:val="0"/>
        <w:kinsoku/>
        <w:wordWrap w:val="0"/>
        <w:overflowPunct/>
        <w:topLinePunct/>
        <w:autoSpaceDE/>
        <w:autoSpaceDN/>
        <w:bidi w:val="0"/>
        <w:spacing w:line="400" w:lineRule="exact"/>
        <w:ind w:firstLine="648" w:firstLineChars="303"/>
        <w:textAlignment w:val="auto"/>
        <w:rPr>
          <w:rFonts w:hint="eastAsia" w:ascii="宋体" w:hAnsi="宋体" w:cs="宋体"/>
          <w:spacing w:val="2"/>
          <w:szCs w:val="21"/>
        </w:rPr>
      </w:pPr>
      <w:r>
        <w:rPr>
          <w:rFonts w:hint="eastAsia" w:ascii="宋体" w:hAnsi="宋体" w:cs="宋体"/>
          <w:spacing w:val="2"/>
          <w:szCs w:val="21"/>
        </w:rPr>
        <w:t>n.不符合谈判文件中规定的其他实质性要求。</w:t>
      </w:r>
    </w:p>
    <w:p>
      <w:pPr>
        <w:pageBreakBefore w:val="0"/>
        <w:kinsoku/>
        <w:wordWrap w:val="0"/>
        <w:overflowPunct/>
        <w:topLinePunct/>
        <w:autoSpaceDE/>
        <w:autoSpaceDN/>
        <w:bidi w:val="0"/>
        <w:spacing w:line="400" w:lineRule="exact"/>
        <w:ind w:firstLine="428"/>
        <w:textAlignment w:val="auto"/>
        <w:rPr>
          <w:rFonts w:hint="eastAsia" w:ascii="宋体" w:hAnsi="宋体" w:cs="宋体"/>
          <w:spacing w:val="2"/>
          <w:szCs w:val="21"/>
        </w:rPr>
      </w:pPr>
      <w:r>
        <w:rPr>
          <w:rFonts w:hint="eastAsia" w:ascii="宋体" w:hAnsi="宋体" w:cs="宋体"/>
          <w:spacing w:val="2"/>
          <w:szCs w:val="21"/>
        </w:rPr>
        <w:t>（3）重大偏离不允许在响应截止时间后修正，但谈判小组将允许修正响应中不构成重大偏离的地方，这些修正不会对其他实质上响应谈判文件要求的响应人的竞争地位产生不公正的影响。</w:t>
      </w:r>
    </w:p>
    <w:p>
      <w:pPr>
        <w:pageBreakBefore w:val="0"/>
        <w:kinsoku/>
        <w:wordWrap w:val="0"/>
        <w:overflowPunct/>
        <w:topLinePunct/>
        <w:autoSpaceDE/>
        <w:autoSpaceDN/>
        <w:bidi w:val="0"/>
        <w:spacing w:line="400" w:lineRule="exact"/>
        <w:ind w:firstLine="428"/>
        <w:textAlignment w:val="auto"/>
        <w:rPr>
          <w:rFonts w:hint="eastAsia" w:ascii="宋体" w:hAnsi="宋体" w:cs="宋体"/>
          <w:spacing w:val="2"/>
          <w:szCs w:val="21"/>
        </w:rPr>
      </w:pPr>
      <w:r>
        <w:rPr>
          <w:rFonts w:hint="eastAsia" w:ascii="宋体" w:hAnsi="宋体" w:cs="宋体"/>
          <w:spacing w:val="2"/>
          <w:szCs w:val="21"/>
        </w:rPr>
        <w:t>（4）如果响应文件实质上没有响应谈判文件的要求，谈判小组将予以拒绝，响应人不得再对响应文件进行任何修正从而使其响应成为实质上响应的响应。</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16.8只有通过资格审查并合格的</w:t>
      </w:r>
      <w:r>
        <w:rPr>
          <w:rFonts w:hint="eastAsia" w:ascii="宋体" w:hAnsi="宋体" w:cs="宋体"/>
          <w:szCs w:val="21"/>
        </w:rPr>
        <w:t>响应人</w:t>
      </w:r>
      <w:r>
        <w:rPr>
          <w:rFonts w:hint="eastAsia" w:ascii="宋体" w:hAnsi="宋体" w:cs="宋体"/>
          <w:spacing w:val="2"/>
          <w:szCs w:val="21"/>
        </w:rPr>
        <w:t>才能进入下面的谈判程序，同时通过资格审查合格的</w:t>
      </w:r>
      <w:r>
        <w:rPr>
          <w:rFonts w:hint="eastAsia" w:ascii="宋体" w:hAnsi="宋体" w:cs="宋体"/>
          <w:szCs w:val="21"/>
        </w:rPr>
        <w:t>响应人</w:t>
      </w:r>
      <w:r>
        <w:rPr>
          <w:rFonts w:hint="eastAsia" w:ascii="宋体" w:hAnsi="宋体" w:cs="宋体"/>
          <w:spacing w:val="2"/>
          <w:szCs w:val="21"/>
        </w:rPr>
        <w:t>须不少于三家，否则谈判失败。谈判小组核对谈判响应文件一次报价,一次报价不得超过采购预算或采购</w:t>
      </w:r>
      <w:r>
        <w:rPr>
          <w:rFonts w:hint="eastAsia" w:ascii="微软雅黑" w:hAnsi="微软雅黑"/>
        </w:rPr>
        <w:t>最高限价</w:t>
      </w:r>
      <w:r>
        <w:rPr>
          <w:rFonts w:hint="eastAsia" w:ascii="宋体" w:hAnsi="宋体" w:cs="宋体"/>
          <w:spacing w:val="2"/>
          <w:szCs w:val="21"/>
        </w:rPr>
        <w:t>,否则不得进入后面的谈判程序。</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16.9按照签到顺序，谈判小组所有成员集中与单一供应商分别就技术、服务等内容进行谈判，确定其是否满足谈判要求，对谈判响应文件中含义不明确的内容谈判小组可要求</w:t>
      </w:r>
      <w:r>
        <w:rPr>
          <w:rFonts w:hint="eastAsia" w:ascii="宋体" w:hAnsi="宋体" w:cs="宋体"/>
          <w:szCs w:val="21"/>
        </w:rPr>
        <w:t>响应人</w:t>
      </w:r>
      <w:r>
        <w:rPr>
          <w:rFonts w:hint="eastAsia" w:ascii="宋体" w:hAnsi="宋体" w:cs="宋体"/>
          <w:spacing w:val="2"/>
          <w:szCs w:val="21"/>
        </w:rPr>
        <w:t>进行澄清说明，谈判文件如有实质性变动的，谈判小组应当以书面形式通知所有参加谈判的</w:t>
      </w:r>
      <w:r>
        <w:rPr>
          <w:rFonts w:hint="eastAsia" w:ascii="宋体" w:hAnsi="宋体" w:cs="宋体"/>
          <w:szCs w:val="21"/>
        </w:rPr>
        <w:t>响应人</w:t>
      </w:r>
      <w:r>
        <w:rPr>
          <w:rFonts w:hint="eastAsia" w:ascii="宋体" w:hAnsi="宋体" w:cs="宋体"/>
          <w:spacing w:val="2"/>
          <w:szCs w:val="21"/>
        </w:rPr>
        <w:t>。</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16.10</w:t>
      </w:r>
      <w:r>
        <w:rPr>
          <w:rFonts w:hint="eastAsia" w:ascii="宋体" w:hAnsi="宋体" w:cs="宋体"/>
          <w:szCs w:val="21"/>
        </w:rPr>
        <w:t>响应人</w:t>
      </w:r>
      <w:r>
        <w:rPr>
          <w:rFonts w:hint="eastAsia" w:ascii="宋体" w:hAnsi="宋体" w:cs="宋体"/>
          <w:spacing w:val="2"/>
          <w:szCs w:val="21"/>
        </w:rPr>
        <w:t>填写有关第二次报价内容（最后总报价）(除因谈判文件修改导致成本增加，二次报价不得超过第一次报价，否则为无效响应报价)，并在最后一个</w:t>
      </w:r>
      <w:r>
        <w:rPr>
          <w:rFonts w:hint="eastAsia" w:ascii="宋体" w:hAnsi="宋体" w:cs="宋体"/>
          <w:szCs w:val="21"/>
        </w:rPr>
        <w:t>响应人</w:t>
      </w:r>
      <w:r>
        <w:rPr>
          <w:rFonts w:hint="eastAsia" w:ascii="宋体" w:hAnsi="宋体" w:cs="宋体"/>
          <w:spacing w:val="2"/>
          <w:szCs w:val="21"/>
        </w:rPr>
        <w:t>谈判结束后十五分钟内同时递交第二次报价表（此表由集中代理机构提供）；如未按上述时间递交承诺函的</w:t>
      </w:r>
      <w:r>
        <w:rPr>
          <w:rFonts w:hint="eastAsia" w:ascii="宋体" w:hAnsi="宋体" w:cs="宋体"/>
          <w:szCs w:val="21"/>
        </w:rPr>
        <w:t>响应人</w:t>
      </w:r>
      <w:r>
        <w:rPr>
          <w:rFonts w:hint="eastAsia" w:ascii="宋体" w:hAnsi="宋体" w:cs="宋体"/>
          <w:spacing w:val="2"/>
          <w:szCs w:val="21"/>
        </w:rPr>
        <w:t>，将作为自动放弃此次谈判，最后总报价超采购预算或采购最高限价的谈判</w:t>
      </w:r>
      <w:r>
        <w:rPr>
          <w:rFonts w:hint="eastAsia" w:ascii="宋体" w:hAnsi="宋体" w:cs="宋体"/>
          <w:szCs w:val="21"/>
        </w:rPr>
        <w:t>响应人</w:t>
      </w:r>
      <w:r>
        <w:rPr>
          <w:rFonts w:hint="eastAsia" w:ascii="宋体" w:hAnsi="宋体" w:cs="宋体"/>
          <w:spacing w:val="2"/>
          <w:szCs w:val="21"/>
        </w:rPr>
        <w:t>不具备成交资格。</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16.11谈判小组根据</w:t>
      </w:r>
      <w:r>
        <w:rPr>
          <w:rFonts w:hint="eastAsia" w:ascii="宋体" w:hAnsi="宋体" w:cs="宋体"/>
          <w:szCs w:val="21"/>
        </w:rPr>
        <w:t>响应人</w:t>
      </w:r>
      <w:r>
        <w:rPr>
          <w:rFonts w:hint="eastAsia" w:ascii="宋体" w:hAnsi="宋体" w:cs="宋体"/>
          <w:spacing w:val="2"/>
          <w:szCs w:val="21"/>
        </w:rPr>
        <w:t>的承诺、响应程度和</w:t>
      </w:r>
      <w:r>
        <w:rPr>
          <w:rFonts w:hint="eastAsia" w:ascii="宋体" w:hAnsi="宋体" w:cs="宋体"/>
          <w:szCs w:val="21"/>
        </w:rPr>
        <w:t>响应人</w:t>
      </w:r>
      <w:r>
        <w:rPr>
          <w:rFonts w:hint="eastAsia" w:ascii="宋体" w:hAnsi="宋体" w:cs="宋体"/>
          <w:spacing w:val="2"/>
          <w:szCs w:val="21"/>
        </w:rPr>
        <w:t>的最后总报价进行按谈判文件规定的评审办法进行评审并给出评审意见。</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16.12谈判小组根据谈判成交原则确定成交供应商，并将结果通知所有参加谈判的未成交的供应商。</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16.13谈判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谈判小组应当将其作为无效投标处理。</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16.14谈判小组各成员应当在评审报告上签字，对自己的评审意见承担法律责任。对需要共同认定的事项存在争议的，应当按照少数服从多数的原则作出结论。持不同意见的谈判小组成员应当在评标报告上签署不同意见及理由，否则视为同意评标报告。</w:t>
      </w:r>
    </w:p>
    <w:p>
      <w:pPr>
        <w:pageBreakBefore w:val="0"/>
        <w:kinsoku/>
        <w:wordWrap w:val="0"/>
        <w:overflowPunct/>
        <w:topLinePunct/>
        <w:autoSpaceDE/>
        <w:autoSpaceDN/>
        <w:bidi w:val="0"/>
        <w:spacing w:line="400" w:lineRule="exact"/>
        <w:ind w:firstLine="417"/>
        <w:textAlignment w:val="auto"/>
        <w:rPr>
          <w:rFonts w:hint="eastAsia" w:ascii="宋体" w:hAnsi="宋体" w:cs="宋体"/>
          <w:spacing w:val="2"/>
          <w:szCs w:val="21"/>
        </w:rPr>
      </w:pPr>
      <w:r>
        <w:rPr>
          <w:rFonts w:hint="eastAsia" w:ascii="宋体" w:hAnsi="宋体" w:cs="宋体"/>
          <w:spacing w:val="2"/>
          <w:szCs w:val="21"/>
        </w:rPr>
        <w:t>16.15如谈判过程中出现本采购谈判文件未尽事宜，由谈判小组根据政府采购有关法律、法规讨论决定。</w:t>
      </w:r>
    </w:p>
    <w:p>
      <w:pPr>
        <w:pageBreakBefore w:val="0"/>
        <w:kinsoku/>
        <w:wordWrap w:val="0"/>
        <w:overflowPunct/>
        <w:topLinePunct/>
        <w:autoSpaceDE/>
        <w:autoSpaceDN/>
        <w:bidi w:val="0"/>
        <w:snapToGrid w:val="0"/>
        <w:spacing w:line="400" w:lineRule="exact"/>
        <w:textAlignment w:val="auto"/>
        <w:rPr>
          <w:rFonts w:hint="eastAsia" w:ascii="宋体" w:hAnsi="宋体" w:cs="宋体"/>
          <w:b/>
          <w:color w:val="000000"/>
          <w:szCs w:val="21"/>
        </w:rPr>
      </w:pPr>
      <w:r>
        <w:rPr>
          <w:rFonts w:hint="eastAsia" w:ascii="宋体" w:hAnsi="宋体" w:cs="宋体"/>
          <w:b/>
          <w:color w:val="000000"/>
          <w:szCs w:val="21"/>
        </w:rPr>
        <w:t>十七、确定成交供应商</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17.1 项目评审应当从质量和服务均能满足谈判文件实质性响应要求的供应商中，由第二次报价最低的供应商为成交供应商。如出现两个或两个以上最终报价相同的谈判供应商，则由采购方以抽签方式确定成交供应商。并编写评审报告。</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17.2评审报告应当由项目评审全体人员签字认可。项目评审成员对评审报告有异议的，项目评审按照少数服从多数的原则推荐成交候选响应人，采购程序继续进行。对评审报告有异议的项目评审成员，应当在报告上签署不同意见并说明理由，由项目评审书面记录相关情况。项目评审成员拒绝在报告上签字又不书面说明其不同意见和理由的，视为同意评审报告。</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17.3采购人也可授权项目评审按本条规定直接确定成交供应商。</w:t>
      </w:r>
    </w:p>
    <w:p>
      <w:pPr>
        <w:pageBreakBefore w:val="0"/>
        <w:kinsoku/>
        <w:wordWrap w:val="0"/>
        <w:overflowPunct/>
        <w:topLinePunct/>
        <w:autoSpaceDE/>
        <w:autoSpaceDN/>
        <w:bidi w:val="0"/>
        <w:snapToGrid w:val="0"/>
        <w:spacing w:line="400" w:lineRule="exact"/>
        <w:textAlignment w:val="auto"/>
        <w:rPr>
          <w:rFonts w:hint="eastAsia" w:ascii="宋体" w:hAnsi="宋体" w:cs="宋体"/>
          <w:b/>
          <w:color w:val="000000"/>
          <w:szCs w:val="21"/>
        </w:rPr>
      </w:pPr>
      <w:r>
        <w:rPr>
          <w:rFonts w:hint="eastAsia" w:ascii="宋体" w:hAnsi="宋体" w:cs="宋体"/>
          <w:b/>
          <w:color w:val="000000"/>
          <w:szCs w:val="21"/>
        </w:rPr>
        <w:t>十八、响应文件的澄清</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18.1为了有助于响应文件的审查、评价和比较，项目评审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18.2响应文件中的大写金额和小写金额不一致时的，以大写金额为准；单价乘数量不等于总价，数量符合谈判文件要求，以单价计算金额为准；单价金额小数点有明细错位的，应以总价为准，并修改单价；</w:t>
      </w:r>
      <w:r>
        <w:rPr>
          <w:rFonts w:hint="eastAsia" w:ascii="宋体" w:hAnsi="宋体" w:cs="宋体"/>
          <w:b/>
          <w:color w:val="000000"/>
          <w:szCs w:val="21"/>
        </w:rPr>
        <w:t>缺项漏项或者数量不符合谈判文件要求的作为无效响应文件处理；</w:t>
      </w:r>
      <w:r>
        <w:rPr>
          <w:rFonts w:hint="eastAsia" w:ascii="宋体" w:hAnsi="宋体" w:cs="宋体"/>
          <w:color w:val="000000"/>
          <w:szCs w:val="21"/>
        </w:rPr>
        <w:t>对不同文字文本响应文件的解释发生异议的，以中文文本为准。</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18.3所有澄清或说明必须以书面方式正式为之，由法定代表人或其代理人的签名或盖章。</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18.4响应人拒不按照项目评审要求作出澄清、说明或者补正的，作为无效响应处理。</w:t>
      </w:r>
    </w:p>
    <w:p>
      <w:pPr>
        <w:pageBreakBefore w:val="0"/>
        <w:kinsoku/>
        <w:wordWrap w:val="0"/>
        <w:overflowPunct/>
        <w:topLinePunct/>
        <w:autoSpaceDE/>
        <w:autoSpaceDN/>
        <w:bidi w:val="0"/>
        <w:snapToGrid w:val="0"/>
        <w:spacing w:line="400" w:lineRule="exact"/>
        <w:textAlignment w:val="auto"/>
        <w:rPr>
          <w:rFonts w:hint="eastAsia" w:ascii="宋体" w:hAnsi="宋体" w:cs="宋体"/>
          <w:b/>
          <w:color w:val="000000"/>
          <w:szCs w:val="21"/>
        </w:rPr>
      </w:pPr>
      <w:r>
        <w:rPr>
          <w:rFonts w:hint="eastAsia" w:ascii="宋体" w:hAnsi="宋体" w:cs="宋体"/>
          <w:b/>
          <w:color w:val="000000"/>
          <w:szCs w:val="21"/>
        </w:rPr>
        <w:t>十九、评审中作为终止谈判活动的情况</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19.1</w:t>
      </w:r>
      <w:r>
        <w:rPr>
          <w:rFonts w:ascii="Times New Roman" w:hAnsi="Times New Roman"/>
          <w:color w:val="000000"/>
          <w:szCs w:val="21"/>
        </w:rPr>
        <w:t>在</w:t>
      </w:r>
      <w:r>
        <w:rPr>
          <w:rFonts w:hint="eastAsia" w:ascii="Times New Roman" w:hAnsi="Times New Roman"/>
          <w:color w:val="000000"/>
          <w:szCs w:val="21"/>
        </w:rPr>
        <w:t>谈判</w:t>
      </w:r>
      <w:r>
        <w:rPr>
          <w:rFonts w:ascii="Times New Roman" w:hAnsi="Times New Roman"/>
          <w:color w:val="000000"/>
          <w:szCs w:val="21"/>
        </w:rPr>
        <w:t>过程中，</w:t>
      </w:r>
      <w:r>
        <w:rPr>
          <w:rFonts w:hint="eastAsia" w:ascii="Times New Roman" w:hAnsi="Times New Roman"/>
          <w:color w:val="000000"/>
          <w:szCs w:val="21"/>
        </w:rPr>
        <w:t>谈判</w:t>
      </w:r>
      <w:r>
        <w:rPr>
          <w:rFonts w:ascii="Times New Roman" w:hAnsi="Times New Roman"/>
          <w:color w:val="000000"/>
          <w:szCs w:val="21"/>
        </w:rPr>
        <w:t>小组发现有下列情形之一的，应当终止竞争性</w:t>
      </w:r>
      <w:r>
        <w:rPr>
          <w:rFonts w:hint="eastAsia" w:ascii="Times New Roman" w:hAnsi="Times New Roman"/>
          <w:color w:val="000000"/>
          <w:szCs w:val="21"/>
        </w:rPr>
        <w:t>谈判</w:t>
      </w:r>
      <w:r>
        <w:rPr>
          <w:rFonts w:ascii="Times New Roman" w:hAnsi="Times New Roman"/>
          <w:color w:val="000000"/>
          <w:szCs w:val="21"/>
        </w:rPr>
        <w:t>采购活动</w:t>
      </w:r>
      <w:r>
        <w:rPr>
          <w:rFonts w:ascii="宋体" w:hAnsi="宋体" w:cs="宋体"/>
          <w:color w:val="000000"/>
          <w:szCs w:val="21"/>
        </w:rPr>
        <w:t>:</w:t>
      </w:r>
    </w:p>
    <w:p>
      <w:pPr>
        <w:pageBreakBefore w:val="0"/>
        <w:kinsoku/>
        <w:wordWrap w:val="0"/>
        <w:overflowPunct/>
        <w:topLinePunct/>
        <w:autoSpaceDE/>
        <w:autoSpaceDN/>
        <w:bidi w:val="0"/>
        <w:snapToGrid w:val="0"/>
        <w:spacing w:line="400" w:lineRule="exact"/>
        <w:ind w:firstLine="420" w:firstLineChars="200"/>
        <w:textAlignment w:val="auto"/>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)因情况变化，不再符合规定的</w:t>
      </w:r>
      <w:r>
        <w:rPr>
          <w:rFonts w:hint="eastAsia" w:ascii="宋体" w:hAnsi="宋体" w:cs="宋体"/>
          <w:color w:val="000000"/>
          <w:szCs w:val="21"/>
        </w:rPr>
        <w:t>谈判</w:t>
      </w:r>
      <w:r>
        <w:rPr>
          <w:rFonts w:ascii="宋体" w:hAnsi="宋体" w:cs="宋体"/>
          <w:color w:val="000000"/>
          <w:szCs w:val="21"/>
        </w:rPr>
        <w:t>方式适用情形的;</w:t>
      </w:r>
    </w:p>
    <w:p>
      <w:pPr>
        <w:pageBreakBefore w:val="0"/>
        <w:kinsoku/>
        <w:wordWrap w:val="0"/>
        <w:overflowPunct/>
        <w:topLinePunct/>
        <w:autoSpaceDE/>
        <w:autoSpaceDN/>
        <w:bidi w:val="0"/>
        <w:snapToGrid w:val="0"/>
        <w:spacing w:line="400" w:lineRule="exact"/>
        <w:ind w:firstLine="420" w:firstLineChars="200"/>
        <w:textAlignment w:val="auto"/>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)出现影响采购公正的违法、违规行为的;</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ascii="Times New Roman" w:hAnsi="Times New Roman"/>
          <w:color w:val="000000"/>
          <w:szCs w:val="21"/>
        </w:rPr>
        <w:t>竞争性</w:t>
      </w:r>
      <w:r>
        <w:rPr>
          <w:rFonts w:hint="eastAsia" w:ascii="Times New Roman" w:hAnsi="Times New Roman"/>
          <w:color w:val="000000"/>
          <w:szCs w:val="21"/>
        </w:rPr>
        <w:t>谈判</w:t>
      </w:r>
      <w:r>
        <w:rPr>
          <w:rFonts w:ascii="Times New Roman" w:hAnsi="Times New Roman"/>
          <w:color w:val="000000"/>
          <w:szCs w:val="21"/>
        </w:rPr>
        <w:t>采购活动终止后，</w:t>
      </w:r>
      <w:r>
        <w:rPr>
          <w:rFonts w:hint="eastAsia" w:ascii="Times New Roman" w:hAnsi="Times New Roman"/>
          <w:color w:val="000000"/>
          <w:szCs w:val="21"/>
        </w:rPr>
        <w:t>谈判</w:t>
      </w:r>
      <w:r>
        <w:rPr>
          <w:rFonts w:ascii="Times New Roman" w:hAnsi="Times New Roman"/>
          <w:color w:val="000000"/>
          <w:szCs w:val="21"/>
        </w:rPr>
        <w:t>小组应作出书面报告。</w:t>
      </w:r>
    </w:p>
    <w:p>
      <w:pPr>
        <w:pageBreakBefore w:val="0"/>
        <w:kinsoku/>
        <w:wordWrap w:val="0"/>
        <w:overflowPunct/>
        <w:topLinePunct/>
        <w:autoSpaceDE/>
        <w:autoSpaceDN/>
        <w:bidi w:val="0"/>
        <w:snapToGrid w:val="0"/>
        <w:spacing w:line="400" w:lineRule="exact"/>
        <w:ind w:firstLine="420" w:firstLineChars="200"/>
        <w:textAlignment w:val="auto"/>
        <w:rPr>
          <w:rFonts w:ascii="Times New Roman" w:hAnsi="Times New Roman"/>
          <w:color w:val="000000"/>
          <w:szCs w:val="21"/>
        </w:rPr>
      </w:pPr>
      <w:r>
        <w:rPr>
          <w:rFonts w:hint="eastAsia" w:ascii="Times New Roman" w:hAnsi="Times New Roman"/>
          <w:color w:val="000000"/>
          <w:szCs w:val="21"/>
        </w:rPr>
        <w:t>19.</w:t>
      </w:r>
      <w:r>
        <w:rPr>
          <w:rFonts w:ascii="Times New Roman" w:hAnsi="Times New Roman"/>
          <w:color w:val="000000"/>
          <w:szCs w:val="21"/>
        </w:rPr>
        <w:t>2在采购活动中因重大变故，采购任务取消的，采购人或者采购</w:t>
      </w:r>
      <w:r>
        <w:rPr>
          <w:rFonts w:hint="eastAsia" w:ascii="Times New Roman" w:hAnsi="Times New Roman"/>
          <w:color w:val="000000"/>
          <w:szCs w:val="21"/>
        </w:rPr>
        <w:t>代理机构</w:t>
      </w:r>
      <w:r>
        <w:rPr>
          <w:rFonts w:ascii="Times New Roman" w:hAnsi="Times New Roman"/>
          <w:color w:val="000000"/>
          <w:szCs w:val="21"/>
        </w:rPr>
        <w:t>应当终止采购活动，通知所有参加采购活动的响应人，并将项目实施情况和采购任务取消原因报送本级财政部门。</w:t>
      </w:r>
    </w:p>
    <w:p>
      <w:pPr>
        <w:pageBreakBefore w:val="0"/>
        <w:kinsoku/>
        <w:wordWrap w:val="0"/>
        <w:overflowPunct/>
        <w:topLinePunct/>
        <w:autoSpaceDE/>
        <w:autoSpaceDN/>
        <w:bidi w:val="0"/>
        <w:snapToGrid w:val="0"/>
        <w:spacing w:line="400" w:lineRule="exact"/>
        <w:ind w:firstLine="420" w:firstLineChars="200"/>
        <w:textAlignment w:val="auto"/>
        <w:rPr>
          <w:rFonts w:ascii="宋体" w:hAnsi="宋体" w:cs="宋体"/>
          <w:color w:val="000000"/>
          <w:szCs w:val="21"/>
        </w:rPr>
      </w:pPr>
      <w:r>
        <w:rPr>
          <w:rFonts w:hint="eastAsia" w:ascii="Times New Roman" w:hAnsi="Times New Roman"/>
          <w:color w:val="000000"/>
          <w:szCs w:val="21"/>
        </w:rPr>
        <w:t>19.</w:t>
      </w:r>
      <w:r>
        <w:rPr>
          <w:rFonts w:ascii="Times New Roman" w:hAnsi="Times New Roman"/>
          <w:color w:val="000000"/>
          <w:szCs w:val="21"/>
        </w:rPr>
        <w:t>3终止后，采购</w:t>
      </w:r>
      <w:r>
        <w:rPr>
          <w:rFonts w:hint="eastAsia" w:ascii="Times New Roman" w:hAnsi="Times New Roman"/>
          <w:color w:val="000000"/>
          <w:szCs w:val="21"/>
        </w:rPr>
        <w:t>代理机构</w:t>
      </w:r>
      <w:r>
        <w:rPr>
          <w:rFonts w:ascii="Times New Roman" w:hAnsi="Times New Roman"/>
          <w:color w:val="000000"/>
          <w:szCs w:val="21"/>
        </w:rPr>
        <w:t>应当将终止原因通知所有响应人。</w:t>
      </w:r>
    </w:p>
    <w:p>
      <w:pPr>
        <w:pageBreakBefore w:val="0"/>
        <w:kinsoku/>
        <w:wordWrap w:val="0"/>
        <w:overflowPunct/>
        <w:topLinePunct/>
        <w:autoSpaceDE/>
        <w:autoSpaceDN/>
        <w:bidi w:val="0"/>
        <w:snapToGrid w:val="0"/>
        <w:spacing w:line="400" w:lineRule="exact"/>
        <w:textAlignment w:val="auto"/>
        <w:rPr>
          <w:rFonts w:hint="eastAsia" w:ascii="宋体" w:hAnsi="宋体" w:cs="宋体"/>
          <w:b/>
          <w:color w:val="000000"/>
          <w:szCs w:val="21"/>
        </w:rPr>
      </w:pPr>
      <w:r>
        <w:rPr>
          <w:rFonts w:hint="eastAsia" w:ascii="宋体" w:hAnsi="宋体" w:cs="宋体"/>
          <w:b/>
          <w:color w:val="000000"/>
          <w:szCs w:val="21"/>
        </w:rPr>
        <w:t>二十、成交通知</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20.1采购代理机构应当在评标结束后2个工作日内将评标报告送采购人确认。</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20.2采购人应当在收到评审报告后5个工作日内，从评审报告提出的成交候选人中，根据质量和服务均能满足采购文件实质性响应要求且最终报价最低的原则确定成交供应商，也可以书面授权项目评审直接确定成交供应商。采购人逾期未确定成交供应商且不提出异议的，视为确定评审报告提出的最后报价最低的供应商为成交供应商。</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20.3成交通知书是合同的组成部分。</w:t>
      </w:r>
    </w:p>
    <w:p>
      <w:pPr>
        <w:pageBreakBefore w:val="0"/>
        <w:kinsoku/>
        <w:wordWrap w:val="0"/>
        <w:overflowPunct/>
        <w:topLinePunct/>
        <w:autoSpaceDE/>
        <w:autoSpaceDN/>
        <w:bidi w:val="0"/>
        <w:snapToGrid w:val="0"/>
        <w:spacing w:line="400" w:lineRule="exact"/>
        <w:textAlignment w:val="auto"/>
        <w:rPr>
          <w:rFonts w:hint="eastAsia" w:ascii="宋体" w:hAnsi="宋体" w:cs="宋体"/>
          <w:b/>
          <w:color w:val="000000"/>
          <w:szCs w:val="21"/>
        </w:rPr>
      </w:pPr>
      <w:r>
        <w:rPr>
          <w:rFonts w:hint="eastAsia" w:ascii="宋体" w:hAnsi="宋体" w:cs="宋体"/>
          <w:b/>
          <w:color w:val="000000"/>
          <w:szCs w:val="21"/>
        </w:rPr>
        <w:t>二十一、签订合同</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21.1采购人与成交供应商应当在成交通知书发出之日起15日内，按照谈判文件确定的合同文本以及采购标的、规格型号、采购金额、采购数量、技术和服务要求等事项签订政府采购合同。采购人不得向成交供应商提出超出谈判文件以外的任何要求作为签订合同的条件，不得与成交供应商订立背离谈判文件确定的合同文本以及采购标的、规格型号、采购金额、采购数量、技术和服务要求等实质性内容的协议。</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21.2采购人如需追加与合同标的相同的货物，在不改变合同其他条款的前提下，成交供应商可与采购人协商签订补充合同，但所有补充合同的采购金额不得超过原合同金额的百分之十。</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color w:val="000000"/>
          <w:szCs w:val="21"/>
        </w:rPr>
      </w:pPr>
      <w:r>
        <w:rPr>
          <w:rFonts w:hint="eastAsia" w:ascii="宋体" w:hAnsi="宋体" w:cs="宋体"/>
          <w:color w:val="000000"/>
          <w:szCs w:val="21"/>
        </w:rPr>
        <w:t>21.3成交供应商一旦成交，及签订合同后，不得转包、分包，亦不得将合同全部及任何权利、义务向第三方转让，否则将被视为严重违约，采购代理机构有权决定按照成交供应商成交后终止或解除合同等依约处理。</w:t>
      </w:r>
    </w:p>
    <w:p>
      <w:pPr>
        <w:pageBreakBefore w:val="0"/>
        <w:kinsoku/>
        <w:wordWrap w:val="0"/>
        <w:overflowPunct/>
        <w:topLinePunct/>
        <w:autoSpaceDE/>
        <w:autoSpaceDN/>
        <w:bidi w:val="0"/>
        <w:snapToGrid w:val="0"/>
        <w:spacing w:line="400" w:lineRule="exact"/>
        <w:textAlignment w:val="auto"/>
        <w:rPr>
          <w:rFonts w:hint="eastAsia" w:ascii="Times New Roman" w:hAnsi="Times New Roman"/>
          <w:b/>
          <w:color w:val="000000"/>
          <w:szCs w:val="21"/>
        </w:rPr>
      </w:pPr>
      <w:r>
        <w:rPr>
          <w:rFonts w:hint="eastAsia" w:ascii="宋体" w:hAnsi="宋体" w:cs="宋体"/>
          <w:b/>
          <w:color w:val="000000"/>
          <w:szCs w:val="21"/>
        </w:rPr>
        <w:t>二十二、</w:t>
      </w:r>
      <w:r>
        <w:rPr>
          <w:rFonts w:hint="eastAsia" w:ascii="Times New Roman" w:hAnsi="Times New Roman"/>
          <w:b/>
          <w:color w:val="000000"/>
          <w:szCs w:val="21"/>
        </w:rPr>
        <w:t>询问、质疑、投诉</w:t>
      </w:r>
    </w:p>
    <w:p>
      <w:pPr>
        <w:pageBreakBefore w:val="0"/>
        <w:kinsoku/>
        <w:wordWrap w:val="0"/>
        <w:overflowPunct/>
        <w:topLinePunct/>
        <w:autoSpaceDE/>
        <w:autoSpaceDN/>
        <w:bidi w:val="0"/>
        <w:snapToGrid w:val="0"/>
        <w:spacing w:line="400" w:lineRule="exact"/>
        <w:ind w:firstLine="422" w:firstLineChars="200"/>
        <w:textAlignment w:val="auto"/>
        <w:rPr>
          <w:rFonts w:hint="eastAsia" w:ascii="Times New Roman" w:hAnsi="Times New Roman"/>
          <w:b/>
          <w:color w:val="000000"/>
          <w:szCs w:val="21"/>
        </w:rPr>
      </w:pPr>
      <w:r>
        <w:rPr>
          <w:rFonts w:hint="eastAsia" w:ascii="Times New Roman" w:hAnsi="Times New Roman"/>
          <w:b/>
          <w:color w:val="000000"/>
          <w:szCs w:val="21"/>
        </w:rPr>
        <w:t>22.1询问</w:t>
      </w:r>
    </w:p>
    <w:p>
      <w:pPr>
        <w:pageBreakBefore w:val="0"/>
        <w:numPr>
          <w:ilvl w:val="0"/>
          <w:numId w:val="2"/>
        </w:numPr>
        <w:kinsoku/>
        <w:wordWrap w:val="0"/>
        <w:overflowPunct/>
        <w:topLinePunct/>
        <w:autoSpaceDE/>
        <w:autoSpaceDN/>
        <w:bidi w:val="0"/>
        <w:snapToGrid w:val="0"/>
        <w:spacing w:line="400" w:lineRule="exact"/>
        <w:ind w:firstLine="630" w:firstLineChars="300"/>
        <w:textAlignment w:val="auto"/>
        <w:rPr>
          <w:rFonts w:hint="eastAsia" w:ascii="Times New Roman" w:hAnsi="Times New Roman"/>
          <w:bCs/>
          <w:color w:val="000000"/>
          <w:szCs w:val="21"/>
        </w:rPr>
      </w:pPr>
      <w:r>
        <w:rPr>
          <w:rFonts w:hint="eastAsia" w:ascii="Times New Roman" w:hAnsi="Times New Roman"/>
          <w:bCs/>
          <w:color w:val="000000"/>
          <w:szCs w:val="21"/>
        </w:rPr>
        <w:t>供应商对政府采购活动有疑问的，可以按照</w:t>
      </w:r>
      <w:r>
        <w:rPr>
          <w:rFonts w:hint="eastAsia" w:ascii="Times New Roman" w:hAnsi="Times New Roman"/>
          <w:b/>
          <w:color w:val="000000"/>
          <w:szCs w:val="21"/>
        </w:rPr>
        <w:t>响应人</w:t>
      </w:r>
      <w:r>
        <w:rPr>
          <w:rFonts w:ascii="Times New Roman" w:hAnsi="Times New Roman"/>
          <w:b/>
          <w:color w:val="000000"/>
          <w:szCs w:val="21"/>
        </w:rPr>
        <w:t>须知前附表第1</w:t>
      </w:r>
      <w:r>
        <w:rPr>
          <w:rFonts w:hint="eastAsia" w:ascii="Times New Roman" w:hAnsi="Times New Roman"/>
          <w:b/>
          <w:color w:val="000000"/>
          <w:szCs w:val="21"/>
        </w:rPr>
        <w:t>0</w:t>
      </w:r>
      <w:r>
        <w:rPr>
          <w:rFonts w:ascii="Times New Roman" w:hAnsi="Times New Roman"/>
          <w:b/>
          <w:color w:val="000000"/>
          <w:szCs w:val="21"/>
        </w:rPr>
        <w:t>条</w:t>
      </w:r>
      <w:r>
        <w:rPr>
          <w:rFonts w:hint="eastAsia" w:ascii="Times New Roman" w:hAnsi="Times New Roman"/>
          <w:b/>
          <w:color w:val="000000"/>
          <w:szCs w:val="21"/>
        </w:rPr>
        <w:t>要求</w:t>
      </w:r>
      <w:r>
        <w:rPr>
          <w:rFonts w:hint="eastAsia" w:ascii="Times New Roman" w:hAnsi="Times New Roman"/>
          <w:bCs/>
          <w:color w:val="000000"/>
          <w:szCs w:val="21"/>
        </w:rPr>
        <w:t>向采购人或采购代理机构提出询问。</w:t>
      </w:r>
    </w:p>
    <w:p>
      <w:pPr>
        <w:pageBreakBefore w:val="0"/>
        <w:kinsoku/>
        <w:wordWrap w:val="0"/>
        <w:overflowPunct/>
        <w:topLinePunct/>
        <w:autoSpaceDE/>
        <w:autoSpaceDN/>
        <w:bidi w:val="0"/>
        <w:snapToGrid w:val="0"/>
        <w:spacing w:line="400" w:lineRule="exact"/>
        <w:ind w:firstLine="422" w:firstLineChars="200"/>
        <w:textAlignment w:val="auto"/>
        <w:rPr>
          <w:rFonts w:hint="eastAsia" w:ascii="Times New Roman" w:hAnsi="Times New Roman"/>
          <w:b/>
          <w:color w:val="000000"/>
          <w:szCs w:val="21"/>
        </w:rPr>
      </w:pPr>
      <w:r>
        <w:rPr>
          <w:rFonts w:hint="eastAsia" w:ascii="Times New Roman" w:hAnsi="Times New Roman"/>
          <w:b/>
          <w:color w:val="000000"/>
          <w:szCs w:val="21"/>
        </w:rPr>
        <w:t>22.2质疑</w:t>
      </w:r>
    </w:p>
    <w:p>
      <w:pPr>
        <w:pageBreakBefore w:val="0"/>
        <w:kinsoku/>
        <w:wordWrap w:val="0"/>
        <w:overflowPunct/>
        <w:topLinePunct/>
        <w:autoSpaceDE/>
        <w:autoSpaceDN/>
        <w:bidi w:val="0"/>
        <w:snapToGrid w:val="0"/>
        <w:spacing w:line="400" w:lineRule="exact"/>
        <w:ind w:firstLine="630" w:firstLineChars="300"/>
        <w:textAlignment w:val="auto"/>
        <w:rPr>
          <w:rFonts w:hint="eastAsia" w:ascii="Times New Roman" w:hAnsi="Times New Roman"/>
          <w:bCs/>
          <w:color w:val="000000"/>
          <w:szCs w:val="21"/>
        </w:rPr>
      </w:pPr>
      <w:r>
        <w:rPr>
          <w:rFonts w:hint="eastAsia" w:ascii="Times New Roman" w:hAnsi="Times New Roman"/>
          <w:bCs/>
          <w:color w:val="000000"/>
          <w:szCs w:val="21"/>
        </w:rPr>
        <w:t>（1）响应人（潜在响应人）对谈判文件条款或技术参数有异议的，应当在投标截止时间前提出，于投标截止时间后对谈判文件提出质疑的，其质疑被视为无效质疑。</w:t>
      </w:r>
    </w:p>
    <w:p>
      <w:pPr>
        <w:pageBreakBefore w:val="0"/>
        <w:kinsoku/>
        <w:wordWrap w:val="0"/>
        <w:overflowPunct/>
        <w:topLinePunct/>
        <w:autoSpaceDE/>
        <w:autoSpaceDN/>
        <w:bidi w:val="0"/>
        <w:snapToGrid w:val="0"/>
        <w:spacing w:line="400" w:lineRule="exact"/>
        <w:ind w:firstLine="630" w:firstLineChars="300"/>
        <w:textAlignment w:val="auto"/>
        <w:rPr>
          <w:rFonts w:hint="eastAsia" w:ascii="Times New Roman" w:hAnsi="Times New Roman"/>
          <w:bCs/>
          <w:color w:val="000000"/>
          <w:szCs w:val="21"/>
        </w:rPr>
      </w:pPr>
      <w:r>
        <w:rPr>
          <w:rFonts w:hint="eastAsia" w:ascii="Times New Roman" w:hAnsi="Times New Roman"/>
          <w:bCs/>
          <w:color w:val="000000"/>
          <w:szCs w:val="21"/>
        </w:rPr>
        <w:t>（2）响应人（潜在响应人）认为谈判文件、招标过程、中标结果使自己的权益受到损害的，可以在知道或者应知其权益受到损害之日起7个工作日内，通过书面材料向采购代理机构提出质疑。响应人应知其权益受到损害之日，是指：</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a.对谈判文件提出质疑的，在满足29.2第（1）条款的前提下，为获取谈判文件之日或者谈判文件公告期限届满之日；</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b.对招标过程提出质疑的，为各招标程序环节结束之日；</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c.对中标结果提出质疑的，为中标结果公告期限届满之日。</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响应人（潜在响应人）针对同一采购程序环节的质疑须一次性提出。</w:t>
      </w:r>
    </w:p>
    <w:p>
      <w:pPr>
        <w:pageBreakBefore w:val="0"/>
        <w:kinsoku/>
        <w:wordWrap w:val="0"/>
        <w:overflowPunct/>
        <w:topLinePunct/>
        <w:autoSpaceDE/>
        <w:autoSpaceDN/>
        <w:bidi w:val="0"/>
        <w:snapToGrid w:val="0"/>
        <w:spacing w:line="400" w:lineRule="exact"/>
        <w:ind w:firstLine="630" w:firstLineChars="300"/>
        <w:textAlignment w:val="auto"/>
        <w:rPr>
          <w:rFonts w:ascii="Times New Roman" w:hAnsi="Times New Roman"/>
          <w:bCs/>
          <w:color w:val="000000"/>
          <w:szCs w:val="21"/>
        </w:rPr>
      </w:pPr>
      <w:r>
        <w:rPr>
          <w:rFonts w:hint="eastAsia" w:ascii="Times New Roman" w:hAnsi="Times New Roman"/>
          <w:bCs/>
          <w:color w:val="000000"/>
          <w:szCs w:val="21"/>
        </w:rPr>
        <w:t>（3）提出质疑的响应人（潜在响应人）应当是参与所质疑项目采购活动的供应商，潜在响应人已依法获取其可质疑的谈判文件的，可以对该文件提出质疑。</w:t>
      </w:r>
    </w:p>
    <w:p>
      <w:pPr>
        <w:pageBreakBefore w:val="0"/>
        <w:kinsoku/>
        <w:wordWrap w:val="0"/>
        <w:overflowPunct/>
        <w:topLinePunct/>
        <w:autoSpaceDE/>
        <w:autoSpaceDN/>
        <w:bidi w:val="0"/>
        <w:snapToGrid w:val="0"/>
        <w:spacing w:line="400" w:lineRule="exact"/>
        <w:ind w:firstLine="630" w:firstLineChars="300"/>
        <w:textAlignment w:val="auto"/>
        <w:rPr>
          <w:rFonts w:hint="eastAsia" w:ascii="Times New Roman" w:hAnsi="Times New Roman"/>
          <w:bCs/>
          <w:color w:val="000000"/>
          <w:szCs w:val="21"/>
        </w:rPr>
      </w:pPr>
      <w:r>
        <w:rPr>
          <w:rFonts w:hint="eastAsia" w:ascii="Times New Roman" w:hAnsi="Times New Roman"/>
          <w:bCs/>
          <w:color w:val="000000"/>
          <w:szCs w:val="21"/>
        </w:rPr>
        <w:t>（4）响应人（潜在响应人）提出质疑应当提交质疑函和必要的证明材料。质疑函应当包括下列内容：</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a.响应人（潜在响应人）的姓名或者名称、地址、邮编、联系人及联系电话；</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b.质疑项目的名称、编号；</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c.具体、明确的质疑事项和与质疑事项相关的请求；</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d.事实依据；</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e.必要的法律依据；</w:t>
      </w:r>
    </w:p>
    <w:p>
      <w:pPr>
        <w:pageBreakBefore w:val="0"/>
        <w:kinsoku/>
        <w:wordWrap w:val="0"/>
        <w:overflowPunct/>
        <w:topLinePunct/>
        <w:autoSpaceDE/>
        <w:autoSpaceDN/>
        <w:bidi w:val="0"/>
        <w:snapToGrid w:val="0"/>
        <w:spacing w:line="400" w:lineRule="exact"/>
        <w:ind w:firstLine="840" w:firstLineChars="400"/>
        <w:textAlignment w:val="auto"/>
        <w:rPr>
          <w:rFonts w:hint="eastAsia" w:ascii="Times New Roman" w:hAnsi="Times New Roman"/>
          <w:bCs/>
          <w:color w:val="000000"/>
          <w:szCs w:val="21"/>
        </w:rPr>
      </w:pPr>
      <w:r>
        <w:rPr>
          <w:rFonts w:hint="eastAsia" w:ascii="Times New Roman" w:hAnsi="Times New Roman"/>
          <w:bCs/>
          <w:color w:val="000000"/>
          <w:szCs w:val="21"/>
        </w:rPr>
        <w:t>f.提出质疑的日期。</w:t>
      </w:r>
    </w:p>
    <w:p>
      <w:pPr>
        <w:pageBreakBefore w:val="0"/>
        <w:kinsoku/>
        <w:wordWrap w:val="0"/>
        <w:overflowPunct/>
        <w:topLinePunct/>
        <w:autoSpaceDE/>
        <w:autoSpaceDN/>
        <w:bidi w:val="0"/>
        <w:snapToGrid w:val="0"/>
        <w:spacing w:line="400" w:lineRule="exact"/>
        <w:ind w:firstLine="630" w:firstLineChars="300"/>
        <w:textAlignment w:val="auto"/>
        <w:rPr>
          <w:rFonts w:hint="eastAsia" w:ascii="Times New Roman" w:hAnsi="Times New Roman"/>
          <w:bCs/>
          <w:color w:val="000000"/>
          <w:szCs w:val="21"/>
        </w:rPr>
      </w:pPr>
      <w:r>
        <w:rPr>
          <w:rFonts w:hint="eastAsia" w:ascii="Times New Roman" w:hAnsi="Times New Roman"/>
          <w:bCs/>
          <w:color w:val="000000"/>
          <w:szCs w:val="21"/>
        </w:rPr>
        <w:t>响应人（潜在响应人）为自然人的，应当由本人签字；响应人（潜在响应人）为法人或者其他组织的，应当由法定代表人、主要负责人，或者其授权代表签字或者盖名章，并加盖公章。质疑函内容有缺失的，采购代理机构、采购人应当一次性告知质疑人需补全的材料及补交的截止时间。补交的截止时间与法定质疑期的截止时间一致。质疑人于截止时间后递交补充材料的，将被拒绝，质疑函应按照财政部《政府采购供应商质疑函范本》格式和要求制作，网址：</w:t>
      </w:r>
    </w:p>
    <w:p>
      <w:pPr>
        <w:pageBreakBefore w:val="0"/>
        <w:kinsoku/>
        <w:wordWrap w:val="0"/>
        <w:overflowPunct/>
        <w:topLinePunct/>
        <w:autoSpaceDE/>
        <w:autoSpaceDN/>
        <w:bidi w:val="0"/>
        <w:snapToGrid w:val="0"/>
        <w:spacing w:line="400" w:lineRule="exact"/>
        <w:ind w:firstLine="632" w:firstLineChars="300"/>
        <w:textAlignment w:val="auto"/>
        <w:rPr>
          <w:rFonts w:hint="eastAsia"/>
          <w:b/>
          <w:color w:val="FF0000"/>
        </w:rPr>
      </w:pPr>
      <w:r>
        <w:rPr>
          <w:rFonts w:hint="eastAsia" w:ascii="Times New Roman" w:hAnsi="Times New Roman"/>
          <w:b/>
          <w:color w:val="FF0000"/>
          <w:szCs w:val="21"/>
        </w:rPr>
        <w:t>http://www.mof.gov.cn/gp/xxgkml/gks/201802/t20180201_2804587.html。</w:t>
      </w:r>
    </w:p>
    <w:p>
      <w:pPr>
        <w:pageBreakBefore w:val="0"/>
        <w:kinsoku/>
        <w:wordWrap w:val="0"/>
        <w:overflowPunct/>
        <w:topLinePunct/>
        <w:autoSpaceDE/>
        <w:autoSpaceDN/>
        <w:bidi w:val="0"/>
        <w:snapToGrid w:val="0"/>
        <w:spacing w:line="400" w:lineRule="exact"/>
        <w:ind w:firstLine="630" w:firstLineChars="300"/>
        <w:textAlignment w:val="auto"/>
        <w:rPr>
          <w:rFonts w:hint="eastAsia" w:ascii="Times New Roman" w:hAnsi="Times New Roman"/>
          <w:bCs/>
          <w:color w:val="000000"/>
          <w:szCs w:val="21"/>
        </w:rPr>
      </w:pPr>
      <w:r>
        <w:rPr>
          <w:rFonts w:hint="eastAsia" w:ascii="Times New Roman" w:hAnsi="Times New Roman"/>
          <w:bCs/>
          <w:color w:val="000000"/>
          <w:szCs w:val="21"/>
        </w:rPr>
        <w:t>（5）质疑事项如无实质内容，仅为询问质疑人得分情况或质疑人未中标原因等的，采购代理机构、采购人可将此类质疑函作为书面询问接收，采购代理机构按询问程序处理。</w:t>
      </w:r>
    </w:p>
    <w:p>
      <w:pPr>
        <w:pageBreakBefore w:val="0"/>
        <w:kinsoku/>
        <w:wordWrap w:val="0"/>
        <w:overflowPunct/>
        <w:topLinePunct/>
        <w:autoSpaceDE/>
        <w:autoSpaceDN/>
        <w:bidi w:val="0"/>
        <w:snapToGrid w:val="0"/>
        <w:spacing w:line="400" w:lineRule="exact"/>
        <w:ind w:firstLine="630" w:firstLineChars="300"/>
        <w:textAlignment w:val="auto"/>
        <w:rPr>
          <w:rFonts w:hint="eastAsia" w:ascii="Times New Roman" w:hAnsi="Times New Roman"/>
          <w:bCs/>
          <w:color w:val="000000"/>
          <w:szCs w:val="21"/>
        </w:rPr>
      </w:pPr>
      <w:r>
        <w:rPr>
          <w:rFonts w:hint="eastAsia" w:ascii="Times New Roman" w:hAnsi="Times New Roman"/>
          <w:bCs/>
          <w:color w:val="000000"/>
          <w:szCs w:val="21"/>
        </w:rPr>
        <w:t>（6）采购人、采购代理机构不得拒收质疑供应商在法定质疑期内发出的质疑函，应当在收到质疑函后7个工作日内作出答复，并通过书面答复质疑供应商和其他相关当事人。</w:t>
      </w:r>
    </w:p>
    <w:p>
      <w:pPr>
        <w:pageBreakBefore w:val="0"/>
        <w:kinsoku/>
        <w:wordWrap w:val="0"/>
        <w:overflowPunct/>
        <w:topLinePunct/>
        <w:autoSpaceDE/>
        <w:autoSpaceDN/>
        <w:bidi w:val="0"/>
        <w:snapToGrid w:val="0"/>
        <w:spacing w:line="400" w:lineRule="exact"/>
        <w:ind w:firstLine="422" w:firstLineChars="200"/>
        <w:textAlignment w:val="auto"/>
        <w:rPr>
          <w:rFonts w:hint="eastAsia" w:ascii="Times New Roman" w:hAnsi="Times New Roman"/>
          <w:b/>
          <w:color w:val="000000"/>
          <w:szCs w:val="21"/>
        </w:rPr>
      </w:pPr>
      <w:r>
        <w:rPr>
          <w:rFonts w:hint="eastAsia" w:ascii="Times New Roman" w:hAnsi="Times New Roman"/>
          <w:b/>
          <w:color w:val="000000"/>
          <w:szCs w:val="21"/>
        </w:rPr>
        <w:t>22.3投诉</w:t>
      </w:r>
    </w:p>
    <w:p>
      <w:pPr>
        <w:pageBreakBefore w:val="0"/>
        <w:kinsoku/>
        <w:wordWrap w:val="0"/>
        <w:overflowPunct/>
        <w:topLinePunct/>
        <w:autoSpaceDE/>
        <w:autoSpaceDN/>
        <w:bidi w:val="0"/>
        <w:snapToGrid w:val="0"/>
        <w:spacing w:line="400" w:lineRule="exact"/>
        <w:ind w:firstLine="420" w:firstLineChars="200"/>
        <w:textAlignment w:val="auto"/>
        <w:rPr>
          <w:color w:val="000000"/>
          <w:szCs w:val="21"/>
        </w:rPr>
      </w:pPr>
      <w:r>
        <w:rPr>
          <w:rFonts w:hint="eastAsia" w:ascii="Times New Roman" w:hAnsi="Times New Roman"/>
          <w:bCs/>
          <w:color w:val="000000"/>
          <w:szCs w:val="21"/>
        </w:rPr>
        <w:t>质疑人对采购人、采购代理机构的答复不满意，或者采购人、采购代理机构未在规定时间内作出答复的，</w:t>
      </w:r>
      <w:r>
        <w:rPr>
          <w:rFonts w:hint="eastAsia"/>
          <w:color w:val="000000"/>
          <w:szCs w:val="21"/>
        </w:rPr>
        <w:t>质疑人可以在答复期满后15个工作日内依法向财政相关部门提起投诉。</w:t>
      </w:r>
    </w:p>
    <w:p>
      <w:pPr>
        <w:pageBreakBefore w:val="0"/>
        <w:kinsoku/>
        <w:wordWrap w:val="0"/>
        <w:overflowPunct/>
        <w:topLinePunct/>
        <w:autoSpaceDE/>
        <w:autoSpaceDN/>
        <w:bidi w:val="0"/>
        <w:snapToGrid w:val="0"/>
        <w:spacing w:line="400" w:lineRule="exact"/>
        <w:textAlignment w:val="auto"/>
        <w:rPr>
          <w:b/>
          <w:bCs/>
          <w:color w:val="000000"/>
          <w:szCs w:val="21"/>
        </w:rPr>
      </w:pPr>
      <w:r>
        <w:rPr>
          <w:b/>
          <w:bCs/>
          <w:color w:val="000000"/>
          <w:szCs w:val="21"/>
        </w:rPr>
        <w:t>二十</w:t>
      </w:r>
      <w:r>
        <w:rPr>
          <w:rFonts w:hint="eastAsia"/>
          <w:b/>
          <w:bCs/>
          <w:color w:val="000000"/>
          <w:szCs w:val="21"/>
        </w:rPr>
        <w:t>四</w:t>
      </w:r>
      <w:r>
        <w:rPr>
          <w:b/>
          <w:bCs/>
          <w:color w:val="000000"/>
          <w:szCs w:val="21"/>
        </w:rPr>
        <w:t>、响应人在参与政府采购活动中失信行为惩戒相关规定：</w:t>
      </w:r>
    </w:p>
    <w:p>
      <w:pPr>
        <w:pageBreakBefore w:val="0"/>
        <w:kinsoku/>
        <w:wordWrap w:val="0"/>
        <w:overflowPunct/>
        <w:topLinePunct/>
        <w:autoSpaceDE/>
        <w:autoSpaceDN/>
        <w:bidi w:val="0"/>
        <w:snapToGrid w:val="0"/>
        <w:spacing w:line="400" w:lineRule="exact"/>
        <w:ind w:firstLine="420" w:firstLineChars="200"/>
        <w:textAlignment w:val="auto"/>
        <w:rPr>
          <w:color w:val="000000"/>
          <w:szCs w:val="21"/>
        </w:rPr>
      </w:pPr>
      <w:r>
        <w:rPr>
          <w:color w:val="000000"/>
          <w:szCs w:val="21"/>
        </w:rPr>
        <w:t>2</w:t>
      </w:r>
      <w:r>
        <w:rPr>
          <w:rFonts w:hint="eastAsia"/>
          <w:color w:val="000000"/>
          <w:szCs w:val="21"/>
        </w:rPr>
        <w:t>4</w:t>
      </w:r>
      <w:r>
        <w:rPr>
          <w:color w:val="000000"/>
          <w:szCs w:val="21"/>
        </w:rPr>
        <w:t>.1对于被行政处罚尚在禁止参加政府采购活动期内的响应人，不得参加政府采购活动，否则中标、成交结果无效。</w:t>
      </w:r>
    </w:p>
    <w:p>
      <w:pPr>
        <w:pageBreakBefore w:val="0"/>
        <w:kinsoku/>
        <w:wordWrap w:val="0"/>
        <w:overflowPunct/>
        <w:topLinePunct/>
        <w:autoSpaceDE/>
        <w:autoSpaceDN/>
        <w:bidi w:val="0"/>
        <w:snapToGrid w:val="0"/>
        <w:spacing w:line="400" w:lineRule="exact"/>
        <w:ind w:firstLine="420" w:firstLineChars="200"/>
        <w:textAlignment w:val="auto"/>
        <w:rPr>
          <w:color w:val="000000"/>
          <w:szCs w:val="21"/>
        </w:rPr>
      </w:pPr>
      <w:r>
        <w:rPr>
          <w:color w:val="000000"/>
          <w:szCs w:val="21"/>
        </w:rPr>
        <w:t>2</w:t>
      </w:r>
      <w:r>
        <w:rPr>
          <w:rFonts w:hint="eastAsia"/>
          <w:color w:val="000000"/>
          <w:szCs w:val="21"/>
        </w:rPr>
        <w:t>4.</w:t>
      </w:r>
      <w:r>
        <w:rPr>
          <w:color w:val="000000"/>
          <w:szCs w:val="21"/>
        </w:rPr>
        <w:t xml:space="preserve">2对于被做出失信行为等级记录且该记录尚处于有效期内的响应人，在其参与政府采购活动时给予一定的分数扣减或价格增加。具体标准为:采用综合评分法的，对于一级失信行为供应商给予其总分值2%的减分，二级失信行为供应商给予其总分值4%的减分，三级失信行为供应商给予其总分值6%的减分。采用最低评标价法的，对于一级失信行为供应商给予其报价2%的加价，二级失信行为供应商给予其报价4%的加价，三级失信行为供应商给予其报价6%的加价。 </w:t>
      </w:r>
    </w:p>
    <w:p>
      <w:pPr>
        <w:pageBreakBefore w:val="0"/>
        <w:kinsoku/>
        <w:wordWrap w:val="0"/>
        <w:overflowPunct/>
        <w:topLinePunct/>
        <w:autoSpaceDE/>
        <w:autoSpaceDN/>
        <w:bidi w:val="0"/>
        <w:snapToGrid w:val="0"/>
        <w:spacing w:line="400" w:lineRule="exact"/>
        <w:textAlignment w:val="auto"/>
        <w:rPr>
          <w:b/>
          <w:bCs/>
          <w:color w:val="000000"/>
          <w:szCs w:val="28"/>
        </w:rPr>
      </w:pPr>
      <w:r>
        <w:rPr>
          <w:rFonts w:hint="eastAsia"/>
          <w:b/>
          <w:bCs/>
          <w:color w:val="000000"/>
          <w:szCs w:val="28"/>
        </w:rPr>
        <w:t>二十五</w:t>
      </w:r>
      <w:r>
        <w:rPr>
          <w:b/>
          <w:bCs/>
          <w:color w:val="000000"/>
          <w:szCs w:val="28"/>
        </w:rPr>
        <w:t>、保密和披露</w:t>
      </w:r>
    </w:p>
    <w:p>
      <w:pPr>
        <w:pageBreakBefore w:val="0"/>
        <w:kinsoku/>
        <w:wordWrap w:val="0"/>
        <w:overflowPunct/>
        <w:topLinePunct/>
        <w:autoSpaceDE/>
        <w:autoSpaceDN/>
        <w:bidi w:val="0"/>
        <w:snapToGrid w:val="0"/>
        <w:spacing w:line="400" w:lineRule="exact"/>
        <w:ind w:firstLine="420" w:firstLineChars="200"/>
        <w:textAlignment w:val="auto"/>
        <w:rPr>
          <w:color w:val="000000"/>
          <w:szCs w:val="28"/>
        </w:rPr>
      </w:pPr>
      <w:r>
        <w:rPr>
          <w:rFonts w:hint="eastAsia"/>
          <w:color w:val="000000"/>
          <w:szCs w:val="28"/>
        </w:rPr>
        <w:t>25</w:t>
      </w:r>
      <w:r>
        <w:rPr>
          <w:color w:val="000000"/>
          <w:szCs w:val="28"/>
        </w:rPr>
        <w:t>.1</w:t>
      </w:r>
      <w:r>
        <w:rPr>
          <w:rFonts w:hint="eastAsia"/>
          <w:color w:val="000000"/>
          <w:szCs w:val="28"/>
        </w:rPr>
        <w:t>响应人</w:t>
      </w:r>
      <w:r>
        <w:rPr>
          <w:color w:val="000000"/>
          <w:szCs w:val="28"/>
        </w:rPr>
        <w:t>自获取</w:t>
      </w:r>
      <w:r>
        <w:rPr>
          <w:rFonts w:hint="eastAsia"/>
          <w:color w:val="000000"/>
          <w:szCs w:val="28"/>
        </w:rPr>
        <w:t>谈判文件</w:t>
      </w:r>
      <w:r>
        <w:rPr>
          <w:color w:val="000000"/>
          <w:szCs w:val="28"/>
        </w:rPr>
        <w:t>之日起，须履行本招标项目下保密义务，不得将因本次招标获得的信息向第三人外传。</w:t>
      </w:r>
    </w:p>
    <w:p>
      <w:pPr>
        <w:pageBreakBefore w:val="0"/>
        <w:kinsoku/>
        <w:wordWrap w:val="0"/>
        <w:overflowPunct/>
        <w:topLinePunct/>
        <w:autoSpaceDE/>
        <w:autoSpaceDN/>
        <w:bidi w:val="0"/>
        <w:snapToGrid w:val="0"/>
        <w:spacing w:line="400" w:lineRule="exact"/>
        <w:ind w:firstLine="420" w:firstLineChars="200"/>
        <w:textAlignment w:val="auto"/>
        <w:rPr>
          <w:color w:val="000000"/>
          <w:szCs w:val="28"/>
        </w:rPr>
      </w:pPr>
      <w:r>
        <w:rPr>
          <w:rFonts w:hint="eastAsia"/>
          <w:color w:val="000000"/>
          <w:szCs w:val="28"/>
        </w:rPr>
        <w:t>25.</w:t>
      </w:r>
      <w:r>
        <w:rPr>
          <w:color w:val="000000"/>
          <w:szCs w:val="28"/>
        </w:rPr>
        <w:t>2采购人或</w:t>
      </w:r>
      <w:r>
        <w:rPr>
          <w:rFonts w:hint="eastAsia"/>
          <w:color w:val="000000"/>
          <w:szCs w:val="28"/>
        </w:rPr>
        <w:t>采购代理机构</w:t>
      </w:r>
      <w:r>
        <w:rPr>
          <w:color w:val="000000"/>
          <w:szCs w:val="28"/>
        </w:rPr>
        <w:t>有权将</w:t>
      </w:r>
      <w:r>
        <w:rPr>
          <w:rFonts w:hint="eastAsia"/>
          <w:color w:val="000000"/>
          <w:szCs w:val="28"/>
        </w:rPr>
        <w:t>响应人</w:t>
      </w:r>
      <w:r>
        <w:rPr>
          <w:color w:val="000000"/>
          <w:szCs w:val="28"/>
        </w:rPr>
        <w:t>提供的所有资料向有关政府部门或评审委员会披露。</w:t>
      </w:r>
    </w:p>
    <w:p>
      <w:pPr>
        <w:pageBreakBefore w:val="0"/>
        <w:kinsoku/>
        <w:wordWrap w:val="0"/>
        <w:overflowPunct/>
        <w:topLinePunct/>
        <w:autoSpaceDE/>
        <w:autoSpaceDN/>
        <w:bidi w:val="0"/>
        <w:snapToGrid w:val="0"/>
        <w:spacing w:line="400" w:lineRule="exact"/>
        <w:ind w:firstLine="420" w:firstLineChars="200"/>
        <w:textAlignment w:val="auto"/>
        <w:rPr>
          <w:color w:val="000000"/>
          <w:szCs w:val="28"/>
        </w:rPr>
      </w:pPr>
      <w:r>
        <w:rPr>
          <w:rFonts w:hint="eastAsia"/>
          <w:color w:val="000000"/>
          <w:szCs w:val="28"/>
        </w:rPr>
        <w:t>25.</w:t>
      </w:r>
      <w:r>
        <w:rPr>
          <w:color w:val="000000"/>
          <w:szCs w:val="28"/>
        </w:rPr>
        <w:t>3在采购人或</w:t>
      </w:r>
      <w:r>
        <w:rPr>
          <w:rFonts w:hint="eastAsia"/>
          <w:color w:val="000000"/>
          <w:szCs w:val="28"/>
        </w:rPr>
        <w:t>采购代理机构</w:t>
      </w:r>
      <w:r>
        <w:rPr>
          <w:color w:val="000000"/>
          <w:szCs w:val="28"/>
        </w:rPr>
        <w:t>认为适当时、国家机关调查、审查、审计时以及其他符合法律规定的情形下，采购人或</w:t>
      </w:r>
      <w:r>
        <w:rPr>
          <w:rFonts w:hint="eastAsia"/>
          <w:color w:val="000000"/>
          <w:szCs w:val="28"/>
        </w:rPr>
        <w:t>采购代理机构</w:t>
      </w:r>
      <w:r>
        <w:rPr>
          <w:color w:val="000000"/>
          <w:szCs w:val="28"/>
        </w:rPr>
        <w:t>无须事先征求</w:t>
      </w:r>
      <w:r>
        <w:rPr>
          <w:rFonts w:hint="eastAsia"/>
          <w:color w:val="000000"/>
          <w:szCs w:val="28"/>
        </w:rPr>
        <w:t>响应人</w:t>
      </w:r>
      <w:r>
        <w:rPr>
          <w:color w:val="000000"/>
          <w:szCs w:val="28"/>
        </w:rPr>
        <w:t>同意而可以披露关于采购过程、合同文本、签署情况的资料、</w:t>
      </w:r>
      <w:r>
        <w:rPr>
          <w:rFonts w:hint="eastAsia"/>
          <w:color w:val="000000"/>
          <w:szCs w:val="28"/>
        </w:rPr>
        <w:t>响应人</w:t>
      </w:r>
      <w:r>
        <w:rPr>
          <w:color w:val="000000"/>
          <w:szCs w:val="28"/>
        </w:rPr>
        <w:t>的名称及地址、</w:t>
      </w:r>
      <w:r>
        <w:rPr>
          <w:rFonts w:hint="eastAsia"/>
          <w:color w:val="000000"/>
          <w:szCs w:val="28"/>
        </w:rPr>
        <w:t>响应文件</w:t>
      </w:r>
      <w:r>
        <w:rPr>
          <w:color w:val="000000"/>
          <w:szCs w:val="28"/>
        </w:rPr>
        <w:t>的有关信息以及补充条款等，但应当在合理的必要范围内。对任何已经公布过的内容或与之内容相同的资料，以及</w:t>
      </w:r>
      <w:r>
        <w:rPr>
          <w:rFonts w:hint="eastAsia"/>
          <w:color w:val="000000"/>
          <w:szCs w:val="28"/>
        </w:rPr>
        <w:t>响应人</w:t>
      </w:r>
      <w:r>
        <w:rPr>
          <w:color w:val="000000"/>
          <w:szCs w:val="28"/>
        </w:rPr>
        <w:t>已经泄露或公开的，无须再承担保密责任。</w:t>
      </w:r>
    </w:p>
    <w:p>
      <w:pPr>
        <w:pageBreakBefore w:val="0"/>
        <w:kinsoku/>
        <w:wordWrap w:val="0"/>
        <w:overflowPunct/>
        <w:topLinePunct/>
        <w:autoSpaceDE/>
        <w:autoSpaceDN/>
        <w:bidi w:val="0"/>
        <w:snapToGrid w:val="0"/>
        <w:spacing w:line="400" w:lineRule="exact"/>
        <w:textAlignment w:val="auto"/>
        <w:rPr>
          <w:rFonts w:hint="eastAsia"/>
          <w:b/>
          <w:bCs/>
          <w:color w:val="000000"/>
          <w:szCs w:val="28"/>
        </w:rPr>
      </w:pPr>
      <w:r>
        <w:rPr>
          <w:rFonts w:hint="eastAsia"/>
          <w:b/>
          <w:bCs/>
          <w:color w:val="000000"/>
          <w:szCs w:val="28"/>
        </w:rPr>
        <w:t>二十六、成交服务费</w:t>
      </w:r>
    </w:p>
    <w:p>
      <w:pPr>
        <w:pageBreakBefore w:val="0"/>
        <w:kinsoku/>
        <w:wordWrap w:val="0"/>
        <w:overflowPunct/>
        <w:topLinePunct/>
        <w:autoSpaceDE/>
        <w:autoSpaceDN/>
        <w:bidi w:val="0"/>
        <w:snapToGrid w:val="0"/>
        <w:spacing w:line="400" w:lineRule="exact"/>
        <w:ind w:firstLine="420" w:firstLineChars="200"/>
        <w:textAlignment w:val="auto"/>
        <w:rPr>
          <w:rFonts w:hint="eastAsia"/>
          <w:color w:val="000000"/>
          <w:szCs w:val="28"/>
        </w:rPr>
      </w:pPr>
      <w:r>
        <w:rPr>
          <w:rFonts w:hint="eastAsia"/>
          <w:color w:val="000000"/>
          <w:szCs w:val="28"/>
        </w:rPr>
        <w:t>26.1本次谈判成交服务费</w:t>
      </w:r>
      <w:r>
        <w:rPr>
          <w:rFonts w:hint="eastAsia"/>
          <w:color w:val="000000"/>
          <w:szCs w:val="28"/>
          <w:lang w:val="en-US" w:eastAsia="zh-CN"/>
        </w:rPr>
        <w:t>5000元</w:t>
      </w:r>
      <w:r>
        <w:rPr>
          <w:rFonts w:hint="eastAsia"/>
          <w:color w:val="000000"/>
          <w:szCs w:val="28"/>
        </w:rPr>
        <w:t>，请响应人在测算响应报价时充分考虑这一因素。</w:t>
      </w:r>
    </w:p>
    <w:p>
      <w:pPr>
        <w:pageBreakBefore w:val="0"/>
        <w:kinsoku/>
        <w:wordWrap w:val="0"/>
        <w:overflowPunct/>
        <w:topLinePunct/>
        <w:autoSpaceDE/>
        <w:autoSpaceDN/>
        <w:bidi w:val="0"/>
        <w:snapToGrid w:val="0"/>
        <w:spacing w:line="400" w:lineRule="exact"/>
        <w:textAlignment w:val="auto"/>
        <w:rPr>
          <w:color w:val="000000"/>
          <w:szCs w:val="28"/>
        </w:rPr>
      </w:pPr>
      <w:r>
        <w:rPr>
          <w:rFonts w:hint="eastAsia"/>
          <w:b/>
          <w:bCs/>
          <w:color w:val="000000"/>
          <w:szCs w:val="28"/>
        </w:rPr>
        <w:t>二十七</w:t>
      </w:r>
      <w:r>
        <w:rPr>
          <w:b/>
          <w:bCs/>
          <w:color w:val="000000"/>
          <w:szCs w:val="28"/>
        </w:rPr>
        <w:t>、未尽事宜</w:t>
      </w:r>
    </w:p>
    <w:p>
      <w:pPr>
        <w:pageBreakBefore w:val="0"/>
        <w:kinsoku/>
        <w:wordWrap w:val="0"/>
        <w:overflowPunct/>
        <w:topLinePunct/>
        <w:autoSpaceDE/>
        <w:autoSpaceDN/>
        <w:bidi w:val="0"/>
        <w:snapToGrid w:val="0"/>
        <w:spacing w:line="400" w:lineRule="exact"/>
        <w:ind w:firstLine="420" w:firstLineChars="200"/>
        <w:textAlignment w:val="auto"/>
        <w:rPr>
          <w:color w:val="000000"/>
          <w:szCs w:val="28"/>
        </w:rPr>
      </w:pPr>
      <w:r>
        <w:rPr>
          <w:rFonts w:hint="eastAsia"/>
          <w:color w:val="000000"/>
          <w:szCs w:val="28"/>
        </w:rPr>
        <w:t>27.1按《中华人民共和国政府采购法》及其他有关法律法规的规定执行。</w:t>
      </w:r>
    </w:p>
    <w:p>
      <w:pPr>
        <w:pStyle w:val="5"/>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Style w:val="30"/>
        <w:pageBreakBefore w:val="0"/>
        <w:kinsoku/>
        <w:wordWrap w:val="0"/>
        <w:overflowPunct/>
        <w:topLinePunct/>
        <w:autoSpaceDE/>
        <w:autoSpaceDN/>
        <w:bidi w:val="0"/>
        <w:textAlignment w:val="auto"/>
        <w:rPr>
          <w:rFonts w:hint="eastAsia" w:ascii="宋体" w:hAnsi="宋体" w:cs="宋体"/>
          <w:color w:val="000000"/>
          <w:sz w:val="21"/>
          <w:szCs w:val="21"/>
          <w:lang w:val="en-US"/>
        </w:rPr>
      </w:pPr>
    </w:p>
    <w:p>
      <w:pPr>
        <w:pageBreakBefore w:val="0"/>
        <w:kinsoku/>
        <w:wordWrap w:val="0"/>
        <w:overflowPunct/>
        <w:topLinePunct/>
        <w:autoSpaceDE/>
        <w:autoSpaceDN/>
        <w:bidi w:val="0"/>
        <w:textAlignment w:val="auto"/>
        <w:rPr>
          <w:rFonts w:hint="eastAsia" w:ascii="宋体" w:hAnsi="宋体" w:cs="宋体"/>
          <w:color w:val="000000"/>
          <w:szCs w:val="21"/>
        </w:rPr>
      </w:pPr>
    </w:p>
    <w:bookmarkEnd w:id="93"/>
    <w:bookmarkEnd w:id="94"/>
    <w:bookmarkEnd w:id="95"/>
    <w:p>
      <w:pPr>
        <w:pageBreakBefore w:val="0"/>
        <w:kinsoku/>
        <w:wordWrap w:val="0"/>
        <w:overflowPunct/>
        <w:topLinePunct/>
        <w:autoSpaceDE/>
        <w:autoSpaceDN/>
        <w:bidi w:val="0"/>
        <w:snapToGrid w:val="0"/>
        <w:spacing w:line="400" w:lineRule="exact"/>
        <w:ind w:firstLine="281" w:firstLineChars="100"/>
        <w:jc w:val="center"/>
        <w:textAlignment w:val="auto"/>
        <w:rPr>
          <w:rFonts w:hint="eastAsia" w:ascii="宋体" w:hAnsi="宋体" w:cs="宋体"/>
          <w:b/>
          <w:sz w:val="28"/>
          <w:szCs w:val="28"/>
        </w:rPr>
      </w:pPr>
      <w:r>
        <w:rPr>
          <w:rFonts w:hint="eastAsia" w:ascii="宋体" w:hAnsi="宋体" w:cs="宋体"/>
          <w:b/>
          <w:sz w:val="28"/>
          <w:szCs w:val="28"/>
        </w:rPr>
        <w:t>政府采购告知书</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尊敬的响应人项目参与人：</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1"/>
        </w:rPr>
      </w:pPr>
      <w:r>
        <w:rPr>
          <w:rFonts w:hint="eastAsia" w:ascii="宋体" w:hAnsi="宋体" w:cs="宋体"/>
          <w:szCs w:val="21"/>
        </w:rPr>
        <w:t>为营造公开、公正的市场环境，确保政府采购工作规范有序开展，特将有关事项告知如下：</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一、欢迎响应人及项目参与人对政府采购工作人员进行监督。凡发现政府采购工作人员有以下情形的，均可以书面具名方式举报，请投送至金坛区财政局政府采购监督管理科（金坛区市民中心A楼0829），</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（一）接受采购人或者供应商组织的宴请、旅游、娱乐等活动；</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（二）与供应商或采购人恶意串通的；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（三）在采购过程中接受贿赂或者获取不正当利益的；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（四）违规向关联参与人或供应商透露招投标或评审信息的；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（五）其他违纪违规行为。</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二、响应人及项目参与人应当遵守政府采购工作规则，有下列情形之一的，将被政府采购项目实施组织机构列入不良行为纪录，建议政府采购监督管理部门一至三年内不得参与政府集中采购机构组织的一切项目，并在相关媒体网站予以公布：</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（一）在政府采购实施过程中，有吵闹、起哄、斗殴等行为，扰乱政府采购开标现场或评审现场秩序的，以及在投标答疑、领取谈判文件、办理相关手续过程中扰乱正常办公秩序的；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（二）采取不正当手段诋毁、排挤其他供应商的；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（三）提供虚假材料谋取中标、成交的；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（四）向采购人、政府采购机构工作人员行贿或提供其他不正当利益的；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（五）在招投采购过程中与采购人进行协商谈判的；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（六）未按规定程序进行质疑、投诉，影响政府采购项目正常进行的。</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监督科办公室：金坛区财政局政府采购监督管理科08</w:t>
      </w:r>
      <w:r>
        <w:rPr>
          <w:rFonts w:hint="eastAsia" w:ascii="宋体" w:hAnsi="宋体" w:cs="宋体"/>
          <w:szCs w:val="21"/>
          <w:lang w:val="en-US" w:eastAsia="zh-CN"/>
        </w:rPr>
        <w:t>30</w:t>
      </w:r>
      <w:r>
        <w:rPr>
          <w:rFonts w:hint="eastAsia" w:ascii="宋体" w:hAnsi="宋体" w:cs="宋体"/>
          <w:szCs w:val="21"/>
        </w:rPr>
        <w:t>室</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政府采购投诉监督电话：0519-82328550</w:t>
      </w:r>
    </w:p>
    <w:p>
      <w:pPr>
        <w:pageBreakBefore w:val="0"/>
        <w:kinsoku/>
        <w:wordWrap w:val="0"/>
        <w:overflowPunct/>
        <w:topLinePunct/>
        <w:autoSpaceDE/>
        <w:autoSpaceDN/>
        <w:bidi w:val="0"/>
        <w:spacing w:line="400" w:lineRule="exact"/>
        <w:textAlignment w:val="auto"/>
        <w:rPr>
          <w:rFonts w:hint="eastAsia" w:ascii="宋体" w:hAnsi="宋体" w:cs="宋体"/>
          <w:b/>
          <w:bCs/>
          <w:szCs w:val="21"/>
        </w:rPr>
      </w:pPr>
    </w:p>
    <w:p>
      <w:pPr>
        <w:pageBreakBefore w:val="0"/>
        <w:kinsoku/>
        <w:wordWrap w:val="0"/>
        <w:overflowPunct/>
        <w:topLinePunct/>
        <w:autoSpaceDE/>
        <w:autoSpaceDN/>
        <w:bidi w:val="0"/>
        <w:spacing w:line="400" w:lineRule="exact"/>
        <w:textAlignment w:val="auto"/>
        <w:rPr>
          <w:rFonts w:hint="eastAsia" w:ascii="宋体" w:hAnsi="宋体" w:cs="宋体"/>
          <w:b/>
          <w:bCs/>
          <w:szCs w:val="21"/>
        </w:rPr>
      </w:pPr>
    </w:p>
    <w:p>
      <w:pPr>
        <w:pageBreakBefore w:val="0"/>
        <w:kinsoku/>
        <w:wordWrap w:val="0"/>
        <w:overflowPunct/>
        <w:topLinePunct/>
        <w:autoSpaceDE/>
        <w:autoSpaceDN/>
        <w:bidi w:val="0"/>
        <w:spacing w:line="400" w:lineRule="exact"/>
        <w:textAlignment w:val="auto"/>
        <w:rPr>
          <w:rFonts w:hint="eastAsia" w:ascii="宋体" w:hAnsi="宋体" w:cs="宋体"/>
          <w:b/>
          <w:bCs/>
          <w:szCs w:val="21"/>
        </w:rPr>
      </w:pPr>
    </w:p>
    <w:p>
      <w:pPr>
        <w:pageBreakBefore w:val="0"/>
        <w:kinsoku/>
        <w:wordWrap w:val="0"/>
        <w:overflowPunct/>
        <w:topLinePunct/>
        <w:autoSpaceDE/>
        <w:autoSpaceDN/>
        <w:bidi w:val="0"/>
        <w:textAlignment w:val="auto"/>
        <w:rPr>
          <w:rFonts w:hint="eastAsia" w:ascii="宋体" w:hAnsi="宋体" w:cs="宋体"/>
          <w:szCs w:val="21"/>
        </w:rPr>
      </w:pPr>
    </w:p>
    <w:p>
      <w:pPr>
        <w:pageBreakBefore w:val="0"/>
        <w:kinsoku/>
        <w:wordWrap w:val="0"/>
        <w:overflowPunct/>
        <w:topLinePunct/>
        <w:autoSpaceDE/>
        <w:autoSpaceDN/>
        <w:bidi w:val="0"/>
        <w:textAlignment w:val="auto"/>
        <w:rPr>
          <w:rFonts w:hint="eastAsia" w:ascii="宋体" w:hAnsi="宋体" w:cs="宋体"/>
          <w:szCs w:val="21"/>
        </w:rPr>
      </w:pPr>
    </w:p>
    <w:p>
      <w:pPr>
        <w:pageBreakBefore w:val="0"/>
        <w:kinsoku/>
        <w:wordWrap w:val="0"/>
        <w:overflowPunct/>
        <w:topLinePunct/>
        <w:autoSpaceDE/>
        <w:autoSpaceDN/>
        <w:bidi w:val="0"/>
        <w:textAlignment w:val="auto"/>
        <w:rPr>
          <w:rFonts w:hint="eastAsia" w:ascii="宋体" w:hAnsi="宋体" w:cs="宋体"/>
          <w:szCs w:val="21"/>
        </w:rPr>
      </w:pPr>
    </w:p>
    <w:p>
      <w:pPr>
        <w:pageBreakBefore w:val="0"/>
        <w:kinsoku/>
        <w:wordWrap w:val="0"/>
        <w:overflowPunct/>
        <w:topLinePunct/>
        <w:autoSpaceDE/>
        <w:autoSpaceDN/>
        <w:bidi w:val="0"/>
        <w:textAlignment w:val="auto"/>
        <w:rPr>
          <w:rFonts w:hint="eastAsia" w:ascii="宋体" w:hAnsi="宋体" w:cs="宋体"/>
          <w:szCs w:val="21"/>
        </w:rPr>
      </w:pPr>
    </w:p>
    <w:p>
      <w:pPr>
        <w:pageBreakBefore w:val="0"/>
        <w:kinsoku/>
        <w:wordWrap w:val="0"/>
        <w:overflowPunct/>
        <w:topLinePunct/>
        <w:autoSpaceDE/>
        <w:autoSpaceDN/>
        <w:bidi w:val="0"/>
        <w:textAlignment w:val="auto"/>
        <w:rPr>
          <w:rFonts w:hint="eastAsia" w:ascii="宋体" w:hAnsi="宋体" w:cs="宋体"/>
          <w:szCs w:val="21"/>
        </w:rPr>
      </w:pPr>
    </w:p>
    <w:p>
      <w:pPr>
        <w:pageBreakBefore w:val="0"/>
        <w:kinsoku/>
        <w:wordWrap w:val="0"/>
        <w:overflowPunct/>
        <w:topLinePunct/>
        <w:autoSpaceDE/>
        <w:autoSpaceDN/>
        <w:bidi w:val="0"/>
        <w:textAlignment w:val="auto"/>
        <w:rPr>
          <w:rFonts w:hint="eastAsia" w:ascii="宋体" w:hAnsi="宋体" w:cs="宋体"/>
          <w:szCs w:val="21"/>
        </w:rPr>
      </w:pPr>
    </w:p>
    <w:p>
      <w:pPr>
        <w:pageBreakBefore w:val="0"/>
        <w:kinsoku/>
        <w:wordWrap w:val="0"/>
        <w:overflowPunct/>
        <w:topLinePunct/>
        <w:autoSpaceDE/>
        <w:autoSpaceDN/>
        <w:bidi w:val="0"/>
        <w:textAlignment w:val="auto"/>
        <w:rPr>
          <w:rFonts w:hint="eastAsia" w:ascii="宋体" w:hAnsi="宋体" w:cs="宋体"/>
          <w:szCs w:val="21"/>
        </w:rPr>
      </w:pPr>
    </w:p>
    <w:p>
      <w:pPr>
        <w:pStyle w:val="4"/>
        <w:pageBreakBefore w:val="0"/>
        <w:numPr>
          <w:ilvl w:val="0"/>
          <w:numId w:val="3"/>
        </w:numPr>
        <w:kinsoku/>
        <w:wordWrap w:val="0"/>
        <w:overflowPunct/>
        <w:topLinePunct/>
        <w:autoSpaceDE/>
        <w:autoSpaceDN/>
        <w:bidi w:val="0"/>
        <w:spacing w:line="413" w:lineRule="auto"/>
        <w:textAlignment w:val="auto"/>
        <w:rPr>
          <w:rFonts w:hint="eastAsia" w:ascii="宋体" w:hAnsi="宋体" w:eastAsia="宋体" w:cs="宋体"/>
          <w:color w:val="000000"/>
        </w:rPr>
      </w:pPr>
      <w:bookmarkStart w:id="96" w:name="_Toc14925"/>
      <w:r>
        <w:rPr>
          <w:rFonts w:hint="eastAsia" w:ascii="宋体" w:hAnsi="宋体" w:eastAsia="宋体" w:cs="宋体"/>
          <w:sz w:val="32"/>
          <w:szCs w:val="32"/>
        </w:rPr>
        <w:br w:type="column"/>
      </w:r>
      <w:r>
        <w:rPr>
          <w:rFonts w:hint="eastAsia" w:ascii="宋体" w:hAnsi="宋体" w:eastAsia="宋体" w:cs="宋体"/>
          <w:color w:val="000000"/>
        </w:rPr>
        <w:t>采购需求</w:t>
      </w:r>
      <w:bookmarkEnd w:id="96"/>
    </w:p>
    <w:p>
      <w:pPr>
        <w:pStyle w:val="4"/>
        <w:pageBreakBefore w:val="0"/>
        <w:kinsoku/>
        <w:wordWrap w:val="0"/>
        <w:overflowPunct/>
        <w:topLinePunct/>
        <w:autoSpaceDE/>
        <w:autoSpaceDN/>
        <w:bidi w:val="0"/>
        <w:spacing w:line="413" w:lineRule="auto"/>
        <w:textAlignment w:val="auto"/>
        <w:rPr>
          <w:rFonts w:hint="eastAsia" w:ascii="宋体" w:hAnsi="宋体" w:eastAsia="宋体" w:cs="宋体"/>
        </w:rPr>
      </w:pPr>
      <w:bookmarkStart w:id="97" w:name="_Toc20489"/>
      <w:r>
        <w:rPr>
          <w:rFonts w:hint="eastAsia" w:ascii="宋体" w:hAnsi="宋体" w:eastAsia="宋体" w:cs="宋体"/>
        </w:rPr>
        <w:t>编制说明、工程量清单（另附）</w:t>
      </w:r>
      <w:bookmarkEnd w:id="97"/>
    </w:p>
    <w:p>
      <w:pPr>
        <w:pageBreakBefore w:val="0"/>
        <w:kinsoku/>
        <w:wordWrap w:val="0"/>
        <w:overflowPunct/>
        <w:topLinePunct/>
        <w:autoSpaceDE/>
        <w:autoSpaceDN/>
        <w:bidi w:val="0"/>
        <w:snapToGrid w:val="0"/>
        <w:spacing w:line="400" w:lineRule="exact"/>
        <w:ind w:firstLine="420" w:firstLineChars="200"/>
        <w:jc w:val="center"/>
        <w:textAlignment w:val="auto"/>
        <w:rPr>
          <w:rFonts w:hint="eastAsia" w:ascii="宋体" w:hAnsi="宋体" w:cs="宋体"/>
          <w:b/>
          <w:bCs/>
          <w:sz w:val="24"/>
        </w:rPr>
      </w:pPr>
      <w:r>
        <w:rPr>
          <w:rFonts w:hint="eastAsia" w:ascii="宋体" w:hAnsi="宋体"/>
          <w:szCs w:val="21"/>
        </w:rPr>
        <w:br w:type="textWrapping"/>
      </w:r>
      <w:r>
        <w:rPr>
          <w:rFonts w:hint="eastAsia" w:ascii="宋体" w:hAnsi="宋体"/>
          <w:szCs w:val="21"/>
        </w:rPr>
        <w:t xml:space="preserve">    </w:t>
      </w:r>
      <w:r>
        <w:rPr>
          <w:rFonts w:hint="eastAsia" w:ascii="宋体" w:hAnsi="宋体" w:cs="宋体"/>
          <w:bCs/>
          <w:szCs w:val="28"/>
        </w:rPr>
        <w:t xml:space="preserve">    </w:t>
      </w:r>
      <w:r>
        <w:rPr>
          <w:rFonts w:hint="eastAsia" w:ascii="宋体" w:hAnsi="宋体"/>
          <w:szCs w:val="21"/>
        </w:rPr>
        <w:br w:type="page"/>
      </w:r>
      <w:r>
        <w:rPr>
          <w:rFonts w:hint="eastAsia" w:ascii="宋体" w:hAnsi="宋体"/>
          <w:b/>
          <w:bCs/>
          <w:color w:val="000000"/>
          <w:sz w:val="28"/>
          <w:szCs w:val="28"/>
        </w:rPr>
        <w:t>第五部分 成交合同</w:t>
      </w:r>
    </w:p>
    <w:p>
      <w:pPr>
        <w:pageBreakBefore w:val="0"/>
        <w:kinsoku/>
        <w:wordWrap w:val="0"/>
        <w:overflowPunct/>
        <w:topLinePunct/>
        <w:autoSpaceDE/>
        <w:autoSpaceDN/>
        <w:bidi w:val="0"/>
        <w:ind w:firstLine="1446" w:firstLineChars="200"/>
        <w:textAlignment w:val="auto"/>
        <w:rPr>
          <w:rFonts w:hint="eastAsia" w:ascii="宋体" w:hAnsi="宋体"/>
          <w:b/>
          <w:sz w:val="52"/>
          <w:szCs w:val="52"/>
        </w:rPr>
      </w:pPr>
      <w:r>
        <w:rPr>
          <w:rFonts w:hint="eastAsia" w:ascii="宋体" w:hAnsi="宋体"/>
          <w:b/>
          <w:sz w:val="72"/>
          <w:szCs w:val="52"/>
        </w:rPr>
        <w:t>建设工程施工合同</w:t>
      </w:r>
      <w:r>
        <w:rPr>
          <w:rFonts w:hint="eastAsia" w:ascii="宋体" w:hAnsi="宋体"/>
          <w:b/>
          <w:sz w:val="52"/>
          <w:szCs w:val="52"/>
        </w:rPr>
        <w:br w:type="textWrapping"/>
      </w:r>
    </w:p>
    <w:p>
      <w:pPr>
        <w:pageBreakBefore w:val="0"/>
        <w:kinsoku/>
        <w:wordWrap w:val="0"/>
        <w:overflowPunct/>
        <w:topLinePunct/>
        <w:autoSpaceDE/>
        <w:autoSpaceDN/>
        <w:bidi w:val="0"/>
        <w:textAlignment w:val="auto"/>
        <w:rPr>
          <w:rFonts w:hint="eastAsia" w:ascii="宋体" w:hAnsi="宋体"/>
          <w:b/>
          <w:sz w:val="52"/>
          <w:szCs w:val="52"/>
        </w:rPr>
      </w:pPr>
    </w:p>
    <w:p>
      <w:pPr>
        <w:pageBreakBefore w:val="0"/>
        <w:kinsoku/>
        <w:wordWrap w:val="0"/>
        <w:overflowPunct/>
        <w:topLinePunct/>
        <w:autoSpaceDE/>
        <w:autoSpaceDN/>
        <w:bidi w:val="0"/>
        <w:textAlignment w:val="auto"/>
        <w:rPr>
          <w:rFonts w:ascii="宋体" w:hAnsi="宋体"/>
          <w:sz w:val="72"/>
          <w:szCs w:val="72"/>
        </w:rPr>
      </w:pPr>
    </w:p>
    <w:p>
      <w:pPr>
        <w:pageBreakBefore w:val="0"/>
        <w:kinsoku/>
        <w:wordWrap w:val="0"/>
        <w:overflowPunct/>
        <w:topLinePunct/>
        <w:autoSpaceDE/>
        <w:autoSpaceDN/>
        <w:bidi w:val="0"/>
        <w:textAlignment w:val="auto"/>
        <w:rPr>
          <w:rFonts w:hint="eastAsia" w:ascii="宋体" w:hAnsi="宋体"/>
          <w:sz w:val="72"/>
          <w:szCs w:val="72"/>
        </w:rPr>
      </w:pPr>
    </w:p>
    <w:p>
      <w:pPr>
        <w:pageBreakBefore w:val="0"/>
        <w:kinsoku/>
        <w:wordWrap w:val="0"/>
        <w:overflowPunct/>
        <w:topLinePunct/>
        <w:autoSpaceDE/>
        <w:autoSpaceDN/>
        <w:bidi w:val="0"/>
        <w:textAlignment w:val="auto"/>
        <w:rPr>
          <w:rFonts w:hint="eastAsia" w:ascii="宋体" w:hAnsi="宋体"/>
          <w:sz w:val="72"/>
          <w:szCs w:val="72"/>
        </w:rPr>
      </w:pPr>
    </w:p>
    <w:p>
      <w:pPr>
        <w:pageBreakBefore w:val="0"/>
        <w:kinsoku/>
        <w:wordWrap w:val="0"/>
        <w:overflowPunct/>
        <w:topLinePunct/>
        <w:autoSpaceDE/>
        <w:autoSpaceDN/>
        <w:bidi w:val="0"/>
        <w:textAlignment w:val="auto"/>
        <w:rPr>
          <w:rFonts w:hint="eastAsia" w:ascii="宋体" w:hAnsi="宋体"/>
          <w:b/>
          <w:sz w:val="28"/>
          <w:szCs w:val="28"/>
        </w:rPr>
      </w:pPr>
    </w:p>
    <w:p>
      <w:pPr>
        <w:pageBreakBefore w:val="0"/>
        <w:kinsoku/>
        <w:wordWrap w:val="0"/>
        <w:overflowPunct/>
        <w:topLinePunct/>
        <w:autoSpaceDE/>
        <w:autoSpaceDN/>
        <w:bidi w:val="0"/>
        <w:ind w:left="1275" w:leftChars="607"/>
        <w:textAlignment w:val="auto"/>
        <w:rPr>
          <w:rFonts w:hint="eastAsia" w:ascii="宋体" w:hAnsi="宋体"/>
          <w:b/>
          <w:sz w:val="32"/>
          <w:szCs w:val="28"/>
        </w:rPr>
      </w:pPr>
      <w:r>
        <w:rPr>
          <w:rFonts w:hint="eastAsia" w:ascii="宋体" w:hAnsi="宋体"/>
          <w:b/>
          <w:sz w:val="32"/>
          <w:szCs w:val="28"/>
        </w:rPr>
        <w:t>采购编号：zxzb2021081</w:t>
      </w:r>
    </w:p>
    <w:p>
      <w:pPr>
        <w:pageBreakBefore w:val="0"/>
        <w:kinsoku/>
        <w:wordWrap w:val="0"/>
        <w:overflowPunct/>
        <w:topLinePunct/>
        <w:autoSpaceDE/>
        <w:autoSpaceDN/>
        <w:bidi w:val="0"/>
        <w:ind w:left="1275" w:leftChars="607"/>
        <w:textAlignment w:val="auto"/>
        <w:rPr>
          <w:rFonts w:ascii="宋体" w:hAnsi="宋体"/>
          <w:b/>
          <w:sz w:val="32"/>
          <w:szCs w:val="28"/>
        </w:rPr>
      </w:pPr>
      <w:r>
        <w:rPr>
          <w:rFonts w:hint="eastAsia" w:ascii="宋体" w:hAnsi="宋体"/>
          <w:b/>
          <w:sz w:val="32"/>
          <w:szCs w:val="28"/>
        </w:rPr>
        <w:t>项目名称：</w:t>
      </w:r>
      <w:r>
        <w:rPr>
          <w:rFonts w:hint="eastAsia" w:ascii="宋体" w:hAnsi="宋体"/>
          <w:b/>
          <w:sz w:val="32"/>
          <w:szCs w:val="28"/>
          <w:lang w:eastAsia="zh-CN"/>
        </w:rPr>
        <w:t>常州市金坛区直溪集镇城管中队西侧地块休闲游园新建工程</w:t>
      </w:r>
      <w:r>
        <w:rPr>
          <w:rFonts w:ascii="宋体" w:hAnsi="宋体"/>
          <w:b/>
          <w:sz w:val="32"/>
          <w:szCs w:val="28"/>
        </w:rPr>
        <w:t xml:space="preserve"> </w:t>
      </w:r>
      <w:r>
        <w:rPr>
          <w:rFonts w:hint="eastAsia" w:ascii="宋体" w:hAnsi="宋体"/>
          <w:b/>
          <w:sz w:val="32"/>
          <w:szCs w:val="28"/>
        </w:rPr>
        <w:t xml:space="preserve"> </w:t>
      </w:r>
    </w:p>
    <w:p>
      <w:pPr>
        <w:pageBreakBefore w:val="0"/>
        <w:kinsoku/>
        <w:wordWrap w:val="0"/>
        <w:overflowPunct/>
        <w:topLinePunct/>
        <w:autoSpaceDE/>
        <w:autoSpaceDN/>
        <w:bidi w:val="0"/>
        <w:ind w:left="1275" w:leftChars="607"/>
        <w:textAlignment w:val="auto"/>
        <w:rPr>
          <w:rFonts w:ascii="宋体" w:hAnsi="宋体"/>
          <w:b/>
          <w:sz w:val="32"/>
          <w:szCs w:val="28"/>
        </w:rPr>
      </w:pPr>
      <w:r>
        <w:rPr>
          <w:rFonts w:hint="eastAsia" w:ascii="宋体" w:hAnsi="宋体"/>
          <w:b/>
          <w:sz w:val="32"/>
          <w:szCs w:val="28"/>
        </w:rPr>
        <w:t xml:space="preserve">建设单位：常州市金坛区直溪镇人民政府 </w:t>
      </w:r>
    </w:p>
    <w:p>
      <w:pPr>
        <w:pageBreakBefore w:val="0"/>
        <w:kinsoku/>
        <w:wordWrap w:val="0"/>
        <w:overflowPunct/>
        <w:topLinePunct/>
        <w:autoSpaceDE/>
        <w:autoSpaceDN/>
        <w:bidi w:val="0"/>
        <w:ind w:left="1275" w:leftChars="607"/>
        <w:textAlignment w:val="auto"/>
        <w:rPr>
          <w:rFonts w:ascii="宋体" w:hAnsi="宋体"/>
          <w:b/>
          <w:sz w:val="32"/>
          <w:szCs w:val="28"/>
        </w:rPr>
      </w:pPr>
      <w:r>
        <w:rPr>
          <w:rFonts w:hint="eastAsia" w:ascii="宋体" w:hAnsi="宋体"/>
          <w:b/>
          <w:sz w:val="32"/>
          <w:szCs w:val="28"/>
        </w:rPr>
        <w:t>施工单位：</w:t>
      </w:r>
    </w:p>
    <w:p>
      <w:pPr>
        <w:pageBreakBefore w:val="0"/>
        <w:kinsoku/>
        <w:wordWrap w:val="0"/>
        <w:overflowPunct/>
        <w:topLinePunct/>
        <w:autoSpaceDE/>
        <w:autoSpaceDN/>
        <w:bidi w:val="0"/>
        <w:ind w:left="1275" w:leftChars="607"/>
        <w:textAlignment w:val="auto"/>
        <w:rPr>
          <w:rFonts w:hint="eastAsia" w:ascii="宋体" w:hAnsi="宋体"/>
          <w:b/>
          <w:sz w:val="32"/>
          <w:szCs w:val="28"/>
        </w:rPr>
      </w:pPr>
      <w:r>
        <w:rPr>
          <w:rFonts w:hint="eastAsia" w:ascii="宋体" w:hAnsi="宋体"/>
          <w:b/>
          <w:sz w:val="32"/>
          <w:szCs w:val="28"/>
        </w:rPr>
        <w:t>招标代理单位：江苏和润工程项目管理有限公司</w:t>
      </w:r>
    </w:p>
    <w:p>
      <w:pPr>
        <w:pageBreakBefore w:val="0"/>
        <w:kinsoku/>
        <w:wordWrap w:val="0"/>
        <w:overflowPunct/>
        <w:topLinePunct/>
        <w:autoSpaceDE/>
        <w:autoSpaceDN/>
        <w:bidi w:val="0"/>
        <w:ind w:left="1275" w:leftChars="607"/>
        <w:textAlignment w:val="auto"/>
        <w:rPr>
          <w:rFonts w:hint="eastAsia" w:ascii="宋体" w:hAnsi="宋体"/>
          <w:b/>
          <w:sz w:val="28"/>
          <w:szCs w:val="28"/>
        </w:rPr>
      </w:pPr>
    </w:p>
    <w:p>
      <w:pPr>
        <w:pageBreakBefore w:val="0"/>
        <w:kinsoku/>
        <w:wordWrap w:val="0"/>
        <w:overflowPunct/>
        <w:topLinePunct/>
        <w:autoSpaceDE/>
        <w:autoSpaceDN/>
        <w:bidi w:val="0"/>
        <w:textAlignment w:val="auto"/>
        <w:rPr>
          <w:rFonts w:hint="eastAsia" w:ascii="宋体" w:hAnsi="宋体"/>
          <w:b/>
          <w:sz w:val="28"/>
          <w:szCs w:val="28"/>
        </w:rPr>
      </w:pPr>
    </w:p>
    <w:p>
      <w:pPr>
        <w:pageBreakBefore w:val="0"/>
        <w:kinsoku/>
        <w:wordWrap w:val="0"/>
        <w:overflowPunct/>
        <w:topLinePunct/>
        <w:autoSpaceDE/>
        <w:autoSpaceDN/>
        <w:bidi w:val="0"/>
        <w:textAlignment w:val="auto"/>
        <w:rPr>
          <w:rFonts w:ascii="宋体" w:hAnsi="宋体"/>
          <w:b/>
          <w:sz w:val="28"/>
          <w:szCs w:val="28"/>
        </w:rPr>
      </w:pPr>
    </w:p>
    <w:p>
      <w:pPr>
        <w:pStyle w:val="5"/>
        <w:pageBreakBefore w:val="0"/>
        <w:kinsoku/>
        <w:wordWrap w:val="0"/>
        <w:overflowPunct/>
        <w:topLinePunct/>
        <w:autoSpaceDE/>
        <w:autoSpaceDN/>
        <w:bidi w:val="0"/>
        <w:textAlignment w:val="auto"/>
        <w:rPr>
          <w:lang w:val="en-US"/>
        </w:rPr>
      </w:pPr>
    </w:p>
    <w:p>
      <w:pPr>
        <w:pageBreakBefore w:val="0"/>
        <w:kinsoku/>
        <w:wordWrap w:val="0"/>
        <w:overflowPunct/>
        <w:topLinePunct/>
        <w:autoSpaceDE/>
        <w:autoSpaceDN/>
        <w:bidi w:val="0"/>
        <w:textAlignment w:val="auto"/>
      </w:pPr>
    </w:p>
    <w:p>
      <w:pPr>
        <w:pStyle w:val="5"/>
        <w:pageBreakBefore w:val="0"/>
        <w:kinsoku/>
        <w:wordWrap w:val="0"/>
        <w:overflowPunct/>
        <w:topLinePunct/>
        <w:autoSpaceDE/>
        <w:autoSpaceDN/>
        <w:bidi w:val="0"/>
        <w:textAlignment w:val="auto"/>
        <w:rPr>
          <w:lang w:val="en-US"/>
        </w:rPr>
      </w:pPr>
    </w:p>
    <w:p>
      <w:pPr>
        <w:pageBreakBefore w:val="0"/>
        <w:kinsoku/>
        <w:wordWrap w:val="0"/>
        <w:overflowPunct/>
        <w:topLinePunct/>
        <w:autoSpaceDE/>
        <w:autoSpaceDN/>
        <w:bidi w:val="0"/>
        <w:textAlignment w:val="auto"/>
        <w:rPr>
          <w:rFonts w:hint="eastAsia"/>
        </w:rPr>
      </w:pPr>
    </w:p>
    <w:p>
      <w:pPr>
        <w:pageBreakBefore w:val="0"/>
        <w:kinsoku/>
        <w:wordWrap w:val="0"/>
        <w:overflowPunct/>
        <w:topLinePunct/>
        <w:autoSpaceDE/>
        <w:autoSpaceDN/>
        <w:bidi w:val="0"/>
        <w:ind w:firstLine="2415" w:firstLineChars="1150"/>
        <w:textAlignment w:val="auto"/>
        <w:rPr>
          <w:rFonts w:hint="eastAsia" w:ascii="宋体" w:hAnsi="宋体"/>
          <w:b/>
          <w:sz w:val="32"/>
          <w:szCs w:val="28"/>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3760470</wp:posOffset>
                </wp:positionH>
                <wp:positionV relativeFrom="paragraph">
                  <wp:posOffset>34290</wp:posOffset>
                </wp:positionV>
                <wp:extent cx="723900" cy="457200"/>
                <wp:effectExtent l="4445" t="4445" r="14605" b="14605"/>
                <wp:wrapNone/>
                <wp:docPr id="1" name="文本框 3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wrap="square" upright="1"/>
                    </wps:wsp>
                  </a:graphicData>
                </a:graphic>
              </wp:anchor>
            </w:drawing>
          </mc:Choice>
          <mc:Fallback>
            <w:pict>
              <v:shape id="文本框 35" o:spid="_x0000_s1026" o:spt="202" type="#_x0000_t202" style="position:absolute;left:0pt;margin-left:296.1pt;margin-top:2.7pt;height:36pt;width:57pt;z-index:251659264;mso-width-relative:page;mso-height-relative:page;" filled="f" stroked="t" coordsize="21600,21600" o:gfxdata="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8DJK/XAAAACAEAAA8AAAAAAAAAAQAg&#10;AAAAIgAAAGRycy9kb3ducmV2LnhtbFBLAQIUABQAAAAIAIdO4kAKA8ygDwIAABsEAAAOAAAAAAAA&#10;AAEAIAAAACYBAABkcnMvZTJvRG9jLnhtbFBLBQYAAAAABgAGAFkBAACnBQ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b/>
          <w:sz w:val="32"/>
          <w:szCs w:val="28"/>
        </w:rPr>
        <w:t>住房和城乡建设部</w:t>
      </w:r>
    </w:p>
    <w:p>
      <w:pPr>
        <w:pageBreakBefore w:val="0"/>
        <w:kinsoku/>
        <w:wordWrap w:val="0"/>
        <w:overflowPunct/>
        <w:topLinePunct/>
        <w:autoSpaceDE/>
        <w:autoSpaceDN/>
        <w:bidi w:val="0"/>
        <w:textAlignment w:val="auto"/>
        <w:rPr>
          <w:rFonts w:hint="eastAsia" w:ascii="宋体" w:hAnsi="宋体"/>
          <w:b/>
          <w:sz w:val="32"/>
          <w:szCs w:val="28"/>
        </w:rPr>
      </w:pPr>
      <w:r>
        <w:rPr>
          <w:rFonts w:hint="eastAsia" w:ascii="宋体" w:hAnsi="宋体"/>
          <w:b/>
          <w:sz w:val="32"/>
          <w:szCs w:val="28"/>
        </w:rPr>
        <w:t xml:space="preserve">              国家工商行政管理总局</w:t>
      </w:r>
    </w:p>
    <w:p>
      <w:pPr>
        <w:pageBreakBefore w:val="0"/>
        <w:kinsoku/>
        <w:wordWrap w:val="0"/>
        <w:overflowPunct/>
        <w:topLinePunct/>
        <w:autoSpaceDE/>
        <w:autoSpaceDN/>
        <w:bidi w:val="0"/>
        <w:textAlignment w:val="auto"/>
        <w:rPr>
          <w:rFonts w:hint="eastAsia" w:ascii="宋体" w:hAnsi="宋体"/>
          <w:b/>
        </w:rPr>
      </w:pPr>
    </w:p>
    <w:p>
      <w:pPr>
        <w:pageBreakBefore w:val="0"/>
        <w:kinsoku/>
        <w:wordWrap w:val="0"/>
        <w:overflowPunct/>
        <w:topLinePunct/>
        <w:autoSpaceDE/>
        <w:autoSpaceDN/>
        <w:bidi w:val="0"/>
        <w:jc w:val="center"/>
        <w:textAlignment w:val="auto"/>
        <w:rPr>
          <w:rFonts w:hint="eastAsia" w:ascii="宋体" w:hAnsi="宋体"/>
          <w:b/>
          <w:sz w:val="36"/>
          <w:szCs w:val="36"/>
          <w:lang w:val="zh-CN"/>
        </w:rPr>
      </w:pPr>
      <w:r>
        <w:rPr>
          <w:rFonts w:hint="eastAsia" w:ascii="宋体" w:hAnsi="宋体"/>
          <w:b/>
        </w:rPr>
        <w:br w:type="page"/>
      </w:r>
      <w:r>
        <w:rPr>
          <w:rFonts w:hint="eastAsia" w:ascii="宋体" w:hAnsi="宋体"/>
          <w:b/>
          <w:sz w:val="36"/>
          <w:szCs w:val="36"/>
          <w:lang w:val="zh-CN"/>
        </w:rPr>
        <w:t>说  明</w:t>
      </w:r>
    </w:p>
    <w:p>
      <w:pPr>
        <w:pageBreakBefore w:val="0"/>
        <w:kinsoku/>
        <w:wordWrap w:val="0"/>
        <w:overflowPunct/>
        <w:topLinePunct/>
        <w:autoSpaceDE/>
        <w:autoSpaceDN/>
        <w:bidi w:val="0"/>
        <w:textAlignment w:val="auto"/>
        <w:rPr>
          <w:rFonts w:hint="eastAsia" w:ascii="宋体" w:hAnsi="宋体"/>
        </w:rPr>
      </w:pPr>
    </w:p>
    <w:p>
      <w:pPr>
        <w:pageBreakBefore w:val="0"/>
        <w:kinsoku/>
        <w:wordWrap w:val="0"/>
        <w:overflowPunct/>
        <w:topLinePunct/>
        <w:autoSpaceDE/>
        <w:autoSpaceDN/>
        <w:bidi w:val="0"/>
        <w:textAlignment w:val="auto"/>
        <w:rPr>
          <w:rFonts w:hint="eastAsia" w:ascii="宋体" w:hAnsi="宋体"/>
        </w:rPr>
      </w:pPr>
      <w:r>
        <w:rPr>
          <w:rFonts w:hint="eastAsia" w:ascii="宋体" w:hAnsi="宋体"/>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-1999-0201）进行了修订，制定了《建设工程施工合同（示范文本）》（GF-2013-0201）（以下简称《示范文本》）。为了便于合同当事人使用《示范文本》，现就有关问题说明如下：</w:t>
      </w:r>
    </w:p>
    <w:p>
      <w:pPr>
        <w:pageBreakBefore w:val="0"/>
        <w:kinsoku/>
        <w:wordWrap w:val="0"/>
        <w:overflowPunct/>
        <w:topLinePunct/>
        <w:autoSpaceDE/>
        <w:autoSpaceDN/>
        <w:bidi w:val="0"/>
        <w:textAlignment w:val="auto"/>
        <w:rPr>
          <w:rFonts w:hint="eastAsia" w:ascii="宋体" w:hAnsi="宋体"/>
          <w:bCs/>
        </w:rPr>
      </w:pPr>
      <w:r>
        <w:rPr>
          <w:rFonts w:hint="eastAsia" w:ascii="宋体" w:hAnsi="宋体"/>
          <w:bCs/>
        </w:rPr>
        <w:t>一、《示范文本》的组成</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《示范文本》由合同协议书、通用合同条款和专用合同条款三部分组成。</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（一）合同协议书</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（二）通用合同条款</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通用合同条款是合同当事人根据《中华人民共和国建筑法》、《中华人民共和国合同法》等法律法规的规定，就工程建设的实施及相关事项，对合同当事人的权利义务作出的原则性约定。</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（三）专用合同条款</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1、专用合同条款的编号应与相应的通用合同条款的编号一致；</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2、合同当事人可以通过对专用合同条款的修改，满足具体建设工程的特殊要求，避免直接修改通用合同条款；</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3、在专用合同条款中有横道线的地方，合同当事人可针对相应的通用合同条款进行细化、完善、补充、修改或另行约定；如无细化、完善、补充、修改或另行约定，则填写“无”或划“/”。</w:t>
      </w:r>
    </w:p>
    <w:p>
      <w:pPr>
        <w:pageBreakBefore w:val="0"/>
        <w:kinsoku/>
        <w:wordWrap w:val="0"/>
        <w:overflowPunct/>
        <w:topLinePunct/>
        <w:autoSpaceDE/>
        <w:autoSpaceDN/>
        <w:bidi w:val="0"/>
        <w:textAlignment w:val="auto"/>
        <w:rPr>
          <w:rFonts w:hint="eastAsia" w:ascii="宋体" w:hAnsi="宋体"/>
          <w:b/>
        </w:rPr>
      </w:pPr>
      <w:r>
        <w:rPr>
          <w:rFonts w:hint="eastAsia" w:ascii="宋体" w:hAnsi="宋体"/>
          <w:bCs/>
        </w:rPr>
        <w:t>二、《示范文本》的性质和适用范围</w:t>
      </w:r>
    </w:p>
    <w:p>
      <w:pPr>
        <w:pageBreakBefore w:val="0"/>
        <w:kinsoku/>
        <w:wordWrap w:val="0"/>
        <w:overflowPunct/>
        <w:topLinePunct/>
        <w:autoSpaceDE/>
        <w:autoSpaceDN/>
        <w:bidi w:val="0"/>
        <w:textAlignment w:val="auto"/>
        <w:rPr>
          <w:rFonts w:hint="eastAsia" w:ascii="宋体" w:hAnsi="宋体"/>
        </w:rPr>
      </w:pPr>
      <w:r>
        <w:rPr>
          <w:rFonts w:hint="eastAsia" w:ascii="宋体" w:hAnsi="宋体"/>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pPr>
        <w:pageBreakBefore w:val="0"/>
        <w:kinsoku/>
        <w:wordWrap w:val="0"/>
        <w:overflowPunct/>
        <w:topLinePunct/>
        <w:autoSpaceDE/>
        <w:autoSpaceDN/>
        <w:bidi w:val="0"/>
        <w:jc w:val="center"/>
        <w:textAlignment w:val="auto"/>
        <w:rPr>
          <w:rFonts w:hint="eastAsia" w:ascii="宋体" w:hAnsi="宋体"/>
          <w:b/>
          <w:sz w:val="36"/>
          <w:szCs w:val="36"/>
        </w:rPr>
      </w:pPr>
      <w:r>
        <w:rPr>
          <w:rFonts w:hint="eastAsia" w:ascii="宋体" w:hAnsi="宋体"/>
        </w:rPr>
        <w:br w:type="page"/>
      </w:r>
      <w:r>
        <w:rPr>
          <w:rFonts w:hint="eastAsia" w:ascii="宋体" w:hAnsi="宋体"/>
          <w:b/>
          <w:sz w:val="36"/>
          <w:szCs w:val="36"/>
          <w:lang w:val="zh-CN"/>
        </w:rPr>
        <w:t>目  录</w:t>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TOC \o "1-3" \h \z \u </w:instrText>
      </w:r>
      <w:r>
        <w:fldChar w:fldCharType="separate"/>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_Toc29143 </w:instrText>
      </w:r>
      <w:r>
        <w:fldChar w:fldCharType="separate"/>
      </w:r>
      <w:r>
        <w:rPr>
          <w:rFonts w:hint="eastAsia" w:ascii="宋体" w:cs="宋体"/>
        </w:rPr>
        <w:t>第一部分 合同协议书</w:t>
      </w:r>
      <w:r>
        <w:tab/>
      </w:r>
      <w:r>
        <w:fldChar w:fldCharType="begin"/>
      </w:r>
      <w:r>
        <w:instrText xml:space="preserve"> PAGEREF _Toc29143 \h </w:instrText>
      </w:r>
      <w:r>
        <w:fldChar w:fldCharType="separate"/>
      </w:r>
      <w:r>
        <w:t>26</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_Toc20123 </w:instrText>
      </w:r>
      <w:r>
        <w:fldChar w:fldCharType="separate"/>
      </w:r>
      <w:r>
        <w:rPr>
          <w:rFonts w:hint="eastAsia" w:ascii="宋体" w:cs="宋体"/>
        </w:rPr>
        <w:t>第二部分 通用合同条款</w:t>
      </w:r>
      <w:r>
        <w:tab/>
      </w:r>
      <w:r>
        <w:fldChar w:fldCharType="begin"/>
      </w:r>
      <w:r>
        <w:instrText xml:space="preserve"> PAGEREF _Toc20123 \h </w:instrText>
      </w:r>
      <w:r>
        <w:fldChar w:fldCharType="separate"/>
      </w:r>
      <w:r>
        <w:t>27</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_Toc28728 </w:instrText>
      </w:r>
      <w:r>
        <w:fldChar w:fldCharType="separate"/>
      </w:r>
      <w:r>
        <w:rPr>
          <w:rFonts w:hint="eastAsia" w:ascii="宋体" w:cs="宋体"/>
        </w:rPr>
        <w:t>第三部分 专用合同条款</w:t>
      </w:r>
      <w:r>
        <w:tab/>
      </w:r>
      <w:r>
        <w:fldChar w:fldCharType="begin"/>
      </w:r>
      <w:r>
        <w:instrText xml:space="preserve"> PAGEREF _Toc28728 \h </w:instrText>
      </w:r>
      <w:r>
        <w:fldChar w:fldCharType="separate"/>
      </w:r>
      <w:r>
        <w:t>27</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_Toc10325 </w:instrText>
      </w:r>
      <w:r>
        <w:fldChar w:fldCharType="separate"/>
      </w:r>
      <w:r>
        <w:rPr>
          <w:rFonts w:cs="宋体"/>
          <w:szCs w:val="21"/>
        </w:rPr>
        <w:t xml:space="preserve">1 </w:t>
      </w:r>
      <w:r>
        <w:rPr>
          <w:rFonts w:hint="eastAsia" w:cs="宋体"/>
          <w:szCs w:val="21"/>
        </w:rPr>
        <w:t>一般约定</w:t>
      </w:r>
      <w:r>
        <w:tab/>
      </w:r>
      <w:r>
        <w:fldChar w:fldCharType="begin"/>
      </w:r>
      <w:r>
        <w:instrText xml:space="preserve"> PAGEREF _Toc10325 \h </w:instrText>
      </w:r>
      <w:r>
        <w:fldChar w:fldCharType="separate"/>
      </w:r>
      <w:r>
        <w:t>27</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_Toc6930 </w:instrText>
      </w:r>
      <w:r>
        <w:fldChar w:fldCharType="separate"/>
      </w:r>
      <w:r>
        <w:rPr>
          <w:rFonts w:cs="宋体"/>
          <w:szCs w:val="21"/>
        </w:rPr>
        <w:t xml:space="preserve">2. </w:t>
      </w:r>
      <w:r>
        <w:rPr>
          <w:rFonts w:hint="eastAsia" w:cs="宋体"/>
          <w:szCs w:val="21"/>
        </w:rPr>
        <w:t>发包人</w:t>
      </w:r>
      <w:r>
        <w:tab/>
      </w:r>
      <w:r>
        <w:fldChar w:fldCharType="begin"/>
      </w:r>
      <w:r>
        <w:instrText xml:space="preserve"> PAGEREF _Toc6930 \h </w:instrText>
      </w:r>
      <w:r>
        <w:fldChar w:fldCharType="separate"/>
      </w:r>
      <w:r>
        <w:t>28</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_Toc23501 </w:instrText>
      </w:r>
      <w:r>
        <w:fldChar w:fldCharType="separate"/>
      </w:r>
      <w:r>
        <w:rPr>
          <w:rFonts w:cs="宋体"/>
          <w:szCs w:val="21"/>
        </w:rPr>
        <w:t xml:space="preserve">3. </w:t>
      </w:r>
      <w:r>
        <w:rPr>
          <w:rFonts w:hint="eastAsia" w:cs="宋体"/>
          <w:szCs w:val="21"/>
        </w:rPr>
        <w:t>承包人</w:t>
      </w:r>
      <w:r>
        <w:tab/>
      </w:r>
      <w:r>
        <w:fldChar w:fldCharType="begin"/>
      </w:r>
      <w:r>
        <w:instrText xml:space="preserve"> PAGEREF _Toc23501 \h </w:instrText>
      </w:r>
      <w:r>
        <w:fldChar w:fldCharType="separate"/>
      </w:r>
      <w:r>
        <w:t>29</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_Toc20536 </w:instrText>
      </w:r>
      <w:r>
        <w:fldChar w:fldCharType="separate"/>
      </w:r>
      <w:r>
        <w:rPr>
          <w:rFonts w:cs="宋体"/>
          <w:szCs w:val="21"/>
        </w:rPr>
        <w:t xml:space="preserve">4. </w:t>
      </w:r>
      <w:r>
        <w:rPr>
          <w:rFonts w:hint="eastAsia" w:cs="宋体"/>
          <w:szCs w:val="21"/>
        </w:rPr>
        <w:t>监理人</w:t>
      </w:r>
      <w:r>
        <w:tab/>
      </w:r>
      <w:r>
        <w:fldChar w:fldCharType="begin"/>
      </w:r>
      <w:r>
        <w:instrText xml:space="preserve"> PAGEREF _Toc20536 \h </w:instrText>
      </w:r>
      <w:r>
        <w:fldChar w:fldCharType="separate"/>
      </w:r>
      <w:r>
        <w:t>30</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_Toc2773 </w:instrText>
      </w:r>
      <w:r>
        <w:fldChar w:fldCharType="separate"/>
      </w:r>
      <w:r>
        <w:rPr>
          <w:rFonts w:cs="宋体"/>
          <w:szCs w:val="21"/>
        </w:rPr>
        <w:t xml:space="preserve">5. </w:t>
      </w:r>
      <w:r>
        <w:rPr>
          <w:rFonts w:hint="eastAsia" w:cs="宋体"/>
          <w:szCs w:val="21"/>
        </w:rPr>
        <w:t>工程质量</w:t>
      </w:r>
      <w:r>
        <w:tab/>
      </w:r>
      <w:r>
        <w:fldChar w:fldCharType="begin"/>
      </w:r>
      <w:r>
        <w:instrText xml:space="preserve"> PAGEREF _Toc2773 \h </w:instrText>
      </w:r>
      <w:r>
        <w:fldChar w:fldCharType="separate"/>
      </w:r>
      <w:r>
        <w:t>30</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_Toc8274 </w:instrText>
      </w:r>
      <w:r>
        <w:fldChar w:fldCharType="separate"/>
      </w:r>
      <w:r>
        <w:rPr>
          <w:rFonts w:cs="宋体"/>
          <w:szCs w:val="21"/>
        </w:rPr>
        <w:t xml:space="preserve">6. </w:t>
      </w:r>
      <w:r>
        <w:rPr>
          <w:rFonts w:hint="eastAsia" w:cs="宋体"/>
          <w:szCs w:val="21"/>
        </w:rPr>
        <w:t>安全文明施工与环境保护</w:t>
      </w:r>
      <w:r>
        <w:tab/>
      </w:r>
      <w:r>
        <w:fldChar w:fldCharType="begin"/>
      </w:r>
      <w:r>
        <w:instrText xml:space="preserve"> PAGEREF _Toc8274 \h </w:instrText>
      </w:r>
      <w:r>
        <w:fldChar w:fldCharType="separate"/>
      </w:r>
      <w:r>
        <w:t>30</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_Toc10510 </w:instrText>
      </w:r>
      <w:r>
        <w:fldChar w:fldCharType="separate"/>
      </w:r>
      <w:r>
        <w:rPr>
          <w:rFonts w:cs="宋体"/>
          <w:szCs w:val="21"/>
        </w:rPr>
        <w:t xml:space="preserve">7. </w:t>
      </w:r>
      <w:r>
        <w:rPr>
          <w:rFonts w:hint="eastAsia" w:cs="宋体"/>
          <w:szCs w:val="21"/>
        </w:rPr>
        <w:t>工期和进度</w:t>
      </w:r>
      <w:r>
        <w:tab/>
      </w:r>
      <w:r>
        <w:fldChar w:fldCharType="begin"/>
      </w:r>
      <w:r>
        <w:instrText xml:space="preserve"> PAGEREF _Toc10510 \h </w:instrText>
      </w:r>
      <w:r>
        <w:fldChar w:fldCharType="separate"/>
      </w:r>
      <w:r>
        <w:t>30</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_Toc10161 </w:instrText>
      </w:r>
      <w:r>
        <w:fldChar w:fldCharType="separate"/>
      </w:r>
      <w:r>
        <w:rPr>
          <w:rFonts w:cs="宋体"/>
          <w:szCs w:val="21"/>
        </w:rPr>
        <w:t xml:space="preserve">8. </w:t>
      </w:r>
      <w:r>
        <w:rPr>
          <w:rFonts w:hint="eastAsia" w:cs="宋体"/>
          <w:szCs w:val="21"/>
        </w:rPr>
        <w:t>材料与设备</w:t>
      </w:r>
      <w:r>
        <w:tab/>
      </w:r>
      <w:r>
        <w:fldChar w:fldCharType="begin"/>
      </w:r>
      <w:r>
        <w:instrText xml:space="preserve"> PAGEREF _Toc10161 \h </w:instrText>
      </w:r>
      <w:r>
        <w:fldChar w:fldCharType="separate"/>
      </w:r>
      <w:r>
        <w:t>31</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_Toc17390 </w:instrText>
      </w:r>
      <w:r>
        <w:fldChar w:fldCharType="separate"/>
      </w:r>
      <w:r>
        <w:rPr>
          <w:rFonts w:cs="宋体"/>
          <w:szCs w:val="21"/>
        </w:rPr>
        <w:t xml:space="preserve">9. </w:t>
      </w:r>
      <w:r>
        <w:rPr>
          <w:rFonts w:hint="eastAsia" w:cs="宋体"/>
          <w:szCs w:val="21"/>
        </w:rPr>
        <w:t>试验与检验</w:t>
      </w:r>
      <w:r>
        <w:tab/>
      </w:r>
      <w:r>
        <w:fldChar w:fldCharType="begin"/>
      </w:r>
      <w:r>
        <w:instrText xml:space="preserve"> PAGEREF _Toc17390 \h </w:instrText>
      </w:r>
      <w:r>
        <w:fldChar w:fldCharType="separate"/>
      </w:r>
      <w:r>
        <w:t>31</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_Toc16057 </w:instrText>
      </w:r>
      <w:r>
        <w:fldChar w:fldCharType="separate"/>
      </w:r>
      <w:r>
        <w:rPr>
          <w:rFonts w:cs="宋体"/>
          <w:szCs w:val="21"/>
        </w:rPr>
        <w:t xml:space="preserve">10. </w:t>
      </w:r>
      <w:r>
        <w:rPr>
          <w:rFonts w:hint="eastAsia" w:cs="宋体"/>
          <w:szCs w:val="21"/>
        </w:rPr>
        <w:t>变更</w:t>
      </w:r>
      <w:r>
        <w:tab/>
      </w:r>
      <w:r>
        <w:fldChar w:fldCharType="begin"/>
      </w:r>
      <w:r>
        <w:instrText xml:space="preserve"> PAGEREF _Toc16057 \h </w:instrText>
      </w:r>
      <w:r>
        <w:fldChar w:fldCharType="separate"/>
      </w:r>
      <w:r>
        <w:t>31</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_Toc22535 </w:instrText>
      </w:r>
      <w:r>
        <w:fldChar w:fldCharType="separate"/>
      </w:r>
      <w:r>
        <w:rPr>
          <w:rFonts w:cs="宋体"/>
          <w:szCs w:val="21"/>
        </w:rPr>
        <w:t xml:space="preserve">11. </w:t>
      </w:r>
      <w:r>
        <w:rPr>
          <w:rFonts w:hint="eastAsia" w:cs="宋体"/>
          <w:szCs w:val="21"/>
        </w:rPr>
        <w:t>价格调整</w:t>
      </w:r>
      <w:r>
        <w:tab/>
      </w:r>
      <w:r>
        <w:fldChar w:fldCharType="begin"/>
      </w:r>
      <w:r>
        <w:instrText xml:space="preserve"> PAGEREF _Toc22535 \h </w:instrText>
      </w:r>
      <w:r>
        <w:fldChar w:fldCharType="separate"/>
      </w:r>
      <w:r>
        <w:t>32</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_Toc18047 </w:instrText>
      </w:r>
      <w:r>
        <w:fldChar w:fldCharType="separate"/>
      </w:r>
      <w:r>
        <w:rPr>
          <w:rFonts w:cs="宋体"/>
          <w:szCs w:val="21"/>
        </w:rPr>
        <w:t xml:space="preserve">12. </w:t>
      </w:r>
      <w:r>
        <w:rPr>
          <w:rFonts w:hint="eastAsia" w:cs="宋体"/>
          <w:szCs w:val="21"/>
        </w:rPr>
        <w:t>合同价格、计量与支付</w:t>
      </w:r>
      <w:r>
        <w:tab/>
      </w:r>
      <w:r>
        <w:fldChar w:fldCharType="begin"/>
      </w:r>
      <w:r>
        <w:instrText xml:space="preserve"> PAGEREF _Toc18047 \h </w:instrText>
      </w:r>
      <w:r>
        <w:fldChar w:fldCharType="separate"/>
      </w:r>
      <w:r>
        <w:t>32</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_Toc1437 </w:instrText>
      </w:r>
      <w:r>
        <w:fldChar w:fldCharType="separate"/>
      </w:r>
      <w:r>
        <w:rPr>
          <w:rFonts w:cs="宋体"/>
          <w:szCs w:val="21"/>
        </w:rPr>
        <w:t xml:space="preserve">14. </w:t>
      </w:r>
      <w:r>
        <w:rPr>
          <w:rFonts w:hint="eastAsia" w:cs="宋体"/>
          <w:szCs w:val="21"/>
        </w:rPr>
        <w:t>竣工结算</w:t>
      </w:r>
      <w:r>
        <w:tab/>
      </w:r>
      <w:r>
        <w:fldChar w:fldCharType="begin"/>
      </w:r>
      <w:r>
        <w:instrText xml:space="preserve"> PAGEREF _Toc1437 \h </w:instrText>
      </w:r>
      <w:r>
        <w:fldChar w:fldCharType="separate"/>
      </w:r>
      <w:r>
        <w:t>34</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_Toc15260 </w:instrText>
      </w:r>
      <w:r>
        <w:fldChar w:fldCharType="separate"/>
      </w:r>
      <w:r>
        <w:rPr>
          <w:rFonts w:cs="宋体"/>
          <w:szCs w:val="21"/>
        </w:rPr>
        <w:t xml:space="preserve">15. </w:t>
      </w:r>
      <w:r>
        <w:rPr>
          <w:rFonts w:hint="eastAsia" w:cs="宋体"/>
          <w:szCs w:val="21"/>
        </w:rPr>
        <w:t>缺陷责任期与保修</w:t>
      </w:r>
      <w:r>
        <w:tab/>
      </w:r>
      <w:r>
        <w:fldChar w:fldCharType="begin"/>
      </w:r>
      <w:r>
        <w:instrText xml:space="preserve"> PAGEREF _Toc15260 \h </w:instrText>
      </w:r>
      <w:r>
        <w:fldChar w:fldCharType="separate"/>
      </w:r>
      <w:r>
        <w:t>34</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_Toc18121 </w:instrText>
      </w:r>
      <w:r>
        <w:fldChar w:fldCharType="separate"/>
      </w:r>
      <w:r>
        <w:rPr>
          <w:rFonts w:cs="宋体"/>
          <w:szCs w:val="21"/>
        </w:rPr>
        <w:t xml:space="preserve">16. </w:t>
      </w:r>
      <w:r>
        <w:rPr>
          <w:rFonts w:hint="eastAsia" w:cs="宋体"/>
          <w:szCs w:val="21"/>
        </w:rPr>
        <w:t>违约</w:t>
      </w:r>
      <w:r>
        <w:tab/>
      </w:r>
      <w:r>
        <w:fldChar w:fldCharType="begin"/>
      </w:r>
      <w:r>
        <w:instrText xml:space="preserve"> PAGEREF _Toc18121 \h </w:instrText>
      </w:r>
      <w:r>
        <w:fldChar w:fldCharType="separate"/>
      </w:r>
      <w:r>
        <w:t>34</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_Toc18489 </w:instrText>
      </w:r>
      <w:r>
        <w:fldChar w:fldCharType="separate"/>
      </w:r>
      <w:r>
        <w:rPr>
          <w:rFonts w:cs="宋体"/>
          <w:szCs w:val="21"/>
        </w:rPr>
        <w:t xml:space="preserve">17. </w:t>
      </w:r>
      <w:r>
        <w:rPr>
          <w:rFonts w:hint="eastAsia" w:cs="宋体"/>
          <w:szCs w:val="21"/>
        </w:rPr>
        <w:t>不可抗力</w:t>
      </w:r>
      <w:r>
        <w:tab/>
      </w:r>
      <w:r>
        <w:fldChar w:fldCharType="begin"/>
      </w:r>
      <w:r>
        <w:instrText xml:space="preserve"> PAGEREF _Toc18489 \h </w:instrText>
      </w:r>
      <w:r>
        <w:fldChar w:fldCharType="separate"/>
      </w:r>
      <w:r>
        <w:t>35</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_Toc7089 </w:instrText>
      </w:r>
      <w:r>
        <w:fldChar w:fldCharType="separate"/>
      </w:r>
      <w:r>
        <w:rPr>
          <w:rFonts w:cs="宋体"/>
          <w:szCs w:val="21"/>
        </w:rPr>
        <w:t xml:space="preserve">18. </w:t>
      </w:r>
      <w:r>
        <w:rPr>
          <w:rFonts w:hint="eastAsia" w:cs="宋体"/>
          <w:szCs w:val="21"/>
        </w:rPr>
        <w:t>保险</w:t>
      </w:r>
      <w:r>
        <w:tab/>
      </w:r>
      <w:r>
        <w:fldChar w:fldCharType="begin"/>
      </w:r>
      <w:r>
        <w:instrText xml:space="preserve"> PAGEREF _Toc7089 \h </w:instrText>
      </w:r>
      <w:r>
        <w:fldChar w:fldCharType="separate"/>
      </w:r>
      <w:r>
        <w:t>35</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_Toc6115 </w:instrText>
      </w:r>
      <w:r>
        <w:fldChar w:fldCharType="separate"/>
      </w:r>
      <w:r>
        <w:rPr>
          <w:rFonts w:cs="宋体"/>
          <w:szCs w:val="21"/>
        </w:rPr>
        <w:t xml:space="preserve">20. </w:t>
      </w:r>
      <w:r>
        <w:rPr>
          <w:rFonts w:hint="eastAsia" w:cs="宋体"/>
          <w:szCs w:val="21"/>
        </w:rPr>
        <w:t>争议解决</w:t>
      </w:r>
      <w:r>
        <w:tab/>
      </w:r>
      <w:r>
        <w:fldChar w:fldCharType="begin"/>
      </w:r>
      <w:r>
        <w:instrText xml:space="preserve"> PAGEREF _Toc6115 \h </w:instrText>
      </w:r>
      <w:r>
        <w:fldChar w:fldCharType="separate"/>
      </w:r>
      <w:r>
        <w:t>35</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_Toc1449 </w:instrText>
      </w:r>
      <w:r>
        <w:fldChar w:fldCharType="separate"/>
      </w:r>
      <w:r>
        <w:rPr>
          <w:rFonts w:cs="宋体"/>
          <w:szCs w:val="21"/>
        </w:rPr>
        <w:t xml:space="preserve">21. </w:t>
      </w:r>
      <w:r>
        <w:rPr>
          <w:rFonts w:hint="eastAsia" w:cs="宋体"/>
          <w:szCs w:val="21"/>
        </w:rPr>
        <w:t>补充条款</w:t>
      </w:r>
      <w:r>
        <w:tab/>
      </w:r>
      <w:r>
        <w:fldChar w:fldCharType="begin"/>
      </w:r>
      <w:r>
        <w:instrText xml:space="preserve"> PAGEREF _Toc1449 \h </w:instrText>
      </w:r>
      <w:r>
        <w:fldChar w:fldCharType="separate"/>
      </w:r>
      <w:r>
        <w:t>35</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r>
        <w:fldChar w:fldCharType="begin"/>
      </w:r>
      <w:r>
        <w:instrText xml:space="preserve"> HYPERLINK \l _Toc12344 </w:instrText>
      </w:r>
      <w:r>
        <w:fldChar w:fldCharType="separate"/>
      </w:r>
      <w:r>
        <w:rPr>
          <w:rFonts w:hint="eastAsia" w:ascii="宋体" w:hAnsi="宋体" w:eastAsia="宋体" w:cs="宋体"/>
          <w:szCs w:val="21"/>
        </w:rPr>
        <w:t>附件一：</w:t>
      </w:r>
      <w:r>
        <w:tab/>
      </w:r>
      <w:r>
        <w:fldChar w:fldCharType="begin"/>
      </w:r>
      <w:r>
        <w:instrText xml:space="preserve"> PAGEREF _Toc12344 \h </w:instrText>
      </w:r>
      <w:r>
        <w:fldChar w:fldCharType="separate"/>
      </w:r>
      <w:r>
        <w:t>38</w:t>
      </w:r>
      <w:r>
        <w:fldChar w:fldCharType="end"/>
      </w:r>
      <w:r>
        <w:fldChar w:fldCharType="end"/>
      </w:r>
    </w:p>
    <w:p>
      <w:pPr>
        <w:pStyle w:val="20"/>
        <w:pageBreakBefore w:val="0"/>
        <w:tabs>
          <w:tab w:val="right" w:leader="dot" w:pos="9638"/>
        </w:tabs>
        <w:kinsoku/>
        <w:wordWrap w:val="0"/>
        <w:overflowPunct/>
        <w:topLinePunct/>
        <w:autoSpaceDE/>
        <w:autoSpaceDN/>
        <w:bidi w:val="0"/>
        <w:textAlignment w:val="auto"/>
      </w:pPr>
    </w:p>
    <w:p>
      <w:pPr>
        <w:pageBreakBefore w:val="0"/>
        <w:kinsoku/>
        <w:wordWrap w:val="0"/>
        <w:overflowPunct/>
        <w:topLinePunct/>
        <w:autoSpaceDE/>
        <w:autoSpaceDN/>
        <w:bidi w:val="0"/>
        <w:textAlignment w:val="auto"/>
      </w:pPr>
      <w:r>
        <w:fldChar w:fldCharType="end"/>
      </w:r>
    </w:p>
    <w:p>
      <w:pPr>
        <w:pageBreakBefore w:val="0"/>
        <w:kinsoku/>
        <w:wordWrap w:val="0"/>
        <w:overflowPunct/>
        <w:topLinePunct/>
        <w:autoSpaceDE/>
        <w:autoSpaceDN/>
        <w:bidi w:val="0"/>
        <w:textAlignment w:val="auto"/>
        <w:rPr>
          <w:rFonts w:ascii="宋体" w:hAns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sz w:val="28"/>
          <w:szCs w:val="28"/>
        </w:rPr>
      </w:pPr>
      <w:r>
        <w:rPr>
          <w:rFonts w:hint="eastAsia" w:ascii="宋体" w:cs="宋体"/>
          <w:bCs w:val="0"/>
        </w:rPr>
        <w:br w:type="page"/>
      </w:r>
      <w:bookmarkStart w:id="98" w:name="_Toc454950473"/>
      <w:bookmarkStart w:id="99" w:name="_Toc455136284"/>
      <w:bookmarkStart w:id="100" w:name="_Toc491507693"/>
      <w:bookmarkStart w:id="101" w:name="_Toc690"/>
      <w:r>
        <w:rPr>
          <w:rFonts w:hint="eastAsia" w:ascii="宋体" w:cs="宋体"/>
          <w:sz w:val="28"/>
          <w:szCs w:val="28"/>
        </w:rPr>
        <w:t>第一部分 合同协议书</w:t>
      </w:r>
      <w:bookmarkEnd w:id="98"/>
      <w:bookmarkEnd w:id="99"/>
      <w:bookmarkEnd w:id="100"/>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发包人(全称)：</w:t>
      </w:r>
      <w:r>
        <w:rPr>
          <w:rFonts w:hint="eastAsia" w:ascii="宋体" w:hAnsi="宋体" w:cs="宋体"/>
          <w:bCs/>
          <w:sz w:val="21"/>
          <w:szCs w:val="21"/>
          <w:u w:val="single"/>
        </w:rPr>
        <w:t>常州市金坛区直溪镇人民政府</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承包人(全称)：</w:t>
      </w:r>
      <w:r>
        <w:rPr>
          <w:rFonts w:hint="eastAsia" w:ascii="宋体" w:hAnsi="宋体" w:cs="宋体"/>
          <w:spacing w:val="12"/>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根据《中华人民共和国合同法》、《中华人民共和国建筑法》及有关法律规定，遵循平等、自愿、公平和诚实信用的原则，</w:t>
      </w:r>
      <w:r>
        <w:rPr>
          <w:rFonts w:hint="eastAsia" w:ascii="宋体" w:hAnsi="宋体" w:cs="宋体"/>
          <w:sz w:val="21"/>
          <w:szCs w:val="21"/>
          <w:u w:val="single"/>
        </w:rPr>
        <w:t xml:space="preserve">  </w:t>
      </w:r>
      <w:r>
        <w:rPr>
          <w:rFonts w:hint="eastAsia" w:ascii="宋体" w:hAnsi="宋体" w:cs="宋体"/>
          <w:bCs/>
          <w:sz w:val="21"/>
          <w:szCs w:val="21"/>
          <w:u w:val="single"/>
          <w:lang w:eastAsia="zh-CN"/>
        </w:rPr>
        <w:t>常州市金坛区直溪集镇城管中队西侧地块休闲游园新建工程程</w:t>
      </w:r>
      <w:r>
        <w:rPr>
          <w:rFonts w:hint="eastAsia" w:ascii="宋体" w:hAnsi="宋体" w:cs="宋体"/>
          <w:sz w:val="21"/>
          <w:szCs w:val="21"/>
        </w:rPr>
        <w:t>施工及有关事项协商一致，共同达成如下协议：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一、工程概况：</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1．工程名称：</w:t>
      </w:r>
      <w:r>
        <w:rPr>
          <w:rFonts w:hint="eastAsia" w:ascii="宋体" w:hAnsi="宋体" w:cs="宋体"/>
          <w:bCs/>
          <w:sz w:val="21"/>
          <w:szCs w:val="21"/>
          <w:u w:val="single"/>
          <w:lang w:eastAsia="zh-CN"/>
        </w:rPr>
        <w:t>常州市金坛区直溪集镇城管中队西侧地块休闲游园新建工程程</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2. 工程地点：</w:t>
      </w:r>
      <w:r>
        <w:rPr>
          <w:rFonts w:hint="eastAsia" w:ascii="宋体" w:hAnsi="宋体" w:cs="宋体"/>
          <w:bCs/>
          <w:sz w:val="21"/>
          <w:szCs w:val="21"/>
          <w:u w:val="single"/>
        </w:rPr>
        <w:t>直溪镇</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3. 工程立项批准文号：</w:t>
      </w:r>
      <w:r>
        <w:rPr>
          <w:rFonts w:hint="eastAsia" w:ascii="宋体" w:hAnsi="宋体" w:cs="宋体"/>
          <w:sz w:val="21"/>
          <w:szCs w:val="21"/>
          <w:u w:val="single"/>
        </w:rPr>
        <w:t xml:space="preserve">  /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4.资金来源：</w:t>
      </w:r>
      <w:r>
        <w:rPr>
          <w:rFonts w:hint="eastAsia" w:ascii="宋体" w:hAnsi="宋体" w:cs="宋体"/>
          <w:sz w:val="21"/>
          <w:szCs w:val="21"/>
          <w:u w:val="single"/>
        </w:rPr>
        <w:t xml:space="preserve"> 财政性资金       </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5.工程内容：</w:t>
      </w:r>
      <w:r>
        <w:rPr>
          <w:rFonts w:hint="eastAsia" w:ascii="宋体" w:hAnsi="宋体" w:cs="宋体"/>
          <w:bCs/>
          <w:sz w:val="21"/>
          <w:szCs w:val="21"/>
          <w:u w:val="single"/>
          <w:lang w:val="en-US" w:eastAsia="zh-CN"/>
        </w:rPr>
        <w:t>为加快直溪集镇基础设施建设，增加居民健身场所，拟在直溪集镇城管中队西侧地块建设休闲游园</w:t>
      </w:r>
      <w:r>
        <w:rPr>
          <w:rFonts w:hint="eastAsia" w:ascii="宋体" w:hAnsi="宋体" w:cs="宋体"/>
          <w:sz w:val="21"/>
          <w:szCs w:val="21"/>
          <w:u w:val="single"/>
        </w:rPr>
        <w:t xml:space="preserve">。 </w:t>
      </w:r>
    </w:p>
    <w:p>
      <w:pPr>
        <w:pageBreakBefore w:val="0"/>
        <w:kinsoku/>
        <w:wordWrap w:val="0"/>
        <w:overflowPunct/>
        <w:topLinePunct/>
        <w:autoSpaceDE/>
        <w:autoSpaceDN/>
        <w:bidi w:val="0"/>
        <w:ind w:left="105" w:hanging="105" w:hangingChars="50"/>
        <w:textAlignment w:val="auto"/>
        <w:rPr>
          <w:rFonts w:hint="eastAsia" w:ascii="宋体" w:hAnsi="宋体" w:cs="宋体"/>
          <w:sz w:val="21"/>
          <w:szCs w:val="21"/>
        </w:rPr>
      </w:pPr>
      <w:r>
        <w:rPr>
          <w:rFonts w:hint="eastAsia" w:ascii="宋体" w:hAnsi="宋体" w:cs="宋体"/>
          <w:sz w:val="21"/>
          <w:szCs w:val="21"/>
        </w:rPr>
        <w:t>二、合同工期：计划开工日期：</w:t>
      </w:r>
      <w:r>
        <w:rPr>
          <w:rFonts w:hint="eastAsia" w:ascii="宋体" w:hAnsi="宋体" w:cs="宋体"/>
          <w:sz w:val="21"/>
          <w:szCs w:val="21"/>
          <w:u w:val="single"/>
        </w:rPr>
        <w:t xml:space="preserve"> 202</w:t>
      </w:r>
      <w:r>
        <w:rPr>
          <w:rFonts w:hint="eastAsia" w:ascii="宋体" w:hAnsi="宋体" w:cs="宋体"/>
          <w:sz w:val="21"/>
          <w:szCs w:val="21"/>
          <w:u w:val="single"/>
          <w:lang w:val="en-US" w:eastAsia="zh-CN"/>
        </w:rPr>
        <w:t>1</w:t>
      </w:r>
      <w:r>
        <w:rPr>
          <w:rFonts w:hint="eastAsia" w:ascii="宋体" w:hAnsi="宋体" w:cs="宋体"/>
          <w:sz w:val="21"/>
          <w:szCs w:val="21"/>
          <w:u w:val="single"/>
        </w:rPr>
        <w:t>年</w:t>
      </w:r>
      <w:r>
        <w:rPr>
          <w:rFonts w:ascii="宋体" w:hAnsi="宋体" w:cs="宋体"/>
          <w:sz w:val="21"/>
          <w:szCs w:val="21"/>
          <w:u w:val="single"/>
        </w:rPr>
        <w:t xml:space="preserve">       </w:t>
      </w:r>
      <w:r>
        <w:rPr>
          <w:rFonts w:hint="eastAsia" w:ascii="宋体" w:hAnsi="宋体" w:cs="宋体"/>
          <w:sz w:val="21"/>
          <w:szCs w:val="21"/>
          <w:u w:val="single"/>
        </w:rPr>
        <w:t>月</w:t>
      </w:r>
      <w:r>
        <w:rPr>
          <w:rFonts w:ascii="宋体" w:hAnsi="宋体" w:cs="宋体"/>
          <w:sz w:val="21"/>
          <w:szCs w:val="21"/>
          <w:u w:val="single"/>
        </w:rPr>
        <w:t xml:space="preserve">      </w:t>
      </w:r>
      <w:r>
        <w:rPr>
          <w:rFonts w:hint="eastAsia" w:ascii="宋体" w:hAnsi="宋体" w:cs="宋体"/>
          <w:sz w:val="21"/>
          <w:szCs w:val="21"/>
          <w:u w:val="single"/>
        </w:rPr>
        <w:t>日 ，</w:t>
      </w:r>
      <w:r>
        <w:rPr>
          <w:rFonts w:hint="eastAsia" w:ascii="宋体" w:hAnsi="宋体" w:cs="宋体"/>
          <w:sz w:val="21"/>
          <w:szCs w:val="21"/>
        </w:rPr>
        <w:t>计划竣工日期：</w:t>
      </w:r>
      <w:r>
        <w:rPr>
          <w:rFonts w:hint="eastAsia" w:ascii="宋体" w:hAnsi="宋体" w:cs="宋体"/>
          <w:sz w:val="21"/>
          <w:szCs w:val="21"/>
          <w:u w:val="single"/>
        </w:rPr>
        <w:t>202</w:t>
      </w:r>
      <w:r>
        <w:rPr>
          <w:rFonts w:hint="eastAsia" w:ascii="宋体" w:hAnsi="宋体" w:cs="宋体"/>
          <w:sz w:val="21"/>
          <w:szCs w:val="21"/>
          <w:u w:val="single"/>
          <w:lang w:val="en-US" w:eastAsia="zh-CN"/>
        </w:rPr>
        <w:t>1</w:t>
      </w:r>
      <w:r>
        <w:rPr>
          <w:rFonts w:hint="eastAsia" w:ascii="宋体" w:hAnsi="宋体" w:cs="宋体"/>
          <w:sz w:val="21"/>
          <w:szCs w:val="21"/>
          <w:u w:val="single"/>
        </w:rPr>
        <w:t>年</w:t>
      </w:r>
      <w:r>
        <w:rPr>
          <w:rFonts w:ascii="宋体" w:hAnsi="宋体" w:cs="宋体"/>
          <w:sz w:val="21"/>
          <w:szCs w:val="21"/>
          <w:u w:val="single"/>
        </w:rPr>
        <w:t xml:space="preserve">    </w:t>
      </w:r>
      <w:r>
        <w:rPr>
          <w:rFonts w:hint="eastAsia" w:ascii="宋体" w:hAnsi="宋体" w:cs="宋体"/>
          <w:sz w:val="21"/>
          <w:szCs w:val="21"/>
          <w:u w:val="single"/>
        </w:rPr>
        <w:t>月</w:t>
      </w:r>
      <w:r>
        <w:rPr>
          <w:rFonts w:ascii="宋体" w:hAnsi="宋体" w:cs="宋体"/>
          <w:sz w:val="21"/>
          <w:szCs w:val="21"/>
          <w:u w:val="single"/>
        </w:rPr>
        <w:t xml:space="preserve">    </w:t>
      </w:r>
      <w:r>
        <w:rPr>
          <w:rFonts w:hint="eastAsia" w:ascii="宋体" w:hAnsi="宋体" w:cs="宋体"/>
          <w:sz w:val="21"/>
          <w:szCs w:val="21"/>
          <w:u w:val="single"/>
        </w:rPr>
        <w:t xml:space="preserve">日。 </w:t>
      </w:r>
      <w:r>
        <w:rPr>
          <w:rFonts w:hint="eastAsia" w:ascii="宋体" w:hAnsi="宋体" w:cs="宋体"/>
          <w:sz w:val="21"/>
          <w:szCs w:val="21"/>
        </w:rPr>
        <w:t>工期总日历天数：</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90</w:t>
      </w:r>
      <w:r>
        <w:rPr>
          <w:rFonts w:hint="eastAsia" w:ascii="宋体" w:hAnsi="宋体" w:cs="宋体"/>
          <w:sz w:val="21"/>
          <w:szCs w:val="21"/>
          <w:u w:val="single"/>
        </w:rPr>
        <w:t>日历天</w:t>
      </w:r>
      <w:r>
        <w:rPr>
          <w:rFonts w:hint="eastAsia" w:ascii="宋体" w:hAnsi="宋体" w:cs="宋体"/>
          <w:sz w:val="21"/>
          <w:szCs w:val="21"/>
        </w:rPr>
        <w:t>。工期总日历天数与根据前述计划开竣工日期计算的工期天数不一致的，以工期总日历天数为准。</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三、质量标准</w:t>
      </w:r>
      <w:r>
        <w:rPr>
          <w:rFonts w:hint="eastAsia" w:ascii="宋体" w:hAnsi="宋体"/>
          <w:sz w:val="21"/>
          <w:szCs w:val="21"/>
        </w:rPr>
        <w:t>：</w:t>
      </w:r>
      <w:r>
        <w:rPr>
          <w:rFonts w:hint="eastAsia" w:ascii="宋体" w:hAnsi="宋体" w:cs="宋体"/>
          <w:sz w:val="21"/>
          <w:szCs w:val="21"/>
          <w:u w:val="single"/>
        </w:rPr>
        <w:t xml:space="preserve">  </w:t>
      </w:r>
      <w:bookmarkStart w:id="102" w:name="OLE_LINK5"/>
      <w:r>
        <w:rPr>
          <w:rFonts w:hint="eastAsia" w:ascii="宋体" w:hAnsi="宋体" w:cs="宋体"/>
          <w:sz w:val="21"/>
          <w:szCs w:val="21"/>
          <w:u w:val="single"/>
        </w:rPr>
        <w:t xml:space="preserve">合格  </w:t>
      </w:r>
      <w:bookmarkEnd w:id="102"/>
      <w:r>
        <w:rPr>
          <w:rFonts w:hint="eastAsia" w:ascii="宋体" w:hAnsi="宋体" w:cs="宋体"/>
          <w:sz w:val="21"/>
          <w:szCs w:val="21"/>
        </w:rPr>
        <w:t>标准</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四、签约合同价与合同价格形式</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1.签约合同价为：</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 xml:space="preserve">    人民币(大写) </w:t>
      </w:r>
      <w:r>
        <w:rPr>
          <w:rFonts w:hint="eastAsia" w:ascii="宋体" w:hAnsi="宋体" w:cs="宋体"/>
          <w:sz w:val="21"/>
          <w:szCs w:val="21"/>
          <w:u w:val="single"/>
        </w:rPr>
        <w:t xml:space="preserve">                    </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rPr>
        <w:t>元)；</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其中：</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(1)安全文明施工费：</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    人民币(大写) </w:t>
      </w:r>
      <w:r>
        <w:rPr>
          <w:rFonts w:hint="eastAsia" w:ascii="宋体" w:hAnsi="宋体" w:cs="宋体"/>
          <w:sz w:val="21"/>
          <w:szCs w:val="21"/>
          <w:u w:val="single"/>
        </w:rPr>
        <w:t xml:space="preserve">                     </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rPr>
        <w:t>元)；</w:t>
      </w:r>
    </w:p>
    <w:p>
      <w:pPr>
        <w:pageBreakBefore w:val="0"/>
        <w:kinsoku/>
        <w:wordWrap w:val="0"/>
        <w:overflowPunct/>
        <w:topLinePunct/>
        <w:autoSpaceDE/>
        <w:autoSpaceDN/>
        <w:bidi w:val="0"/>
        <w:ind w:firstLine="420" w:firstLineChars="200"/>
        <w:textAlignment w:val="auto"/>
        <w:rPr>
          <w:rFonts w:hint="eastAsia" w:ascii="宋体" w:hAnsi="宋体"/>
          <w:sz w:val="21"/>
          <w:szCs w:val="21"/>
        </w:rPr>
      </w:pPr>
      <w:r>
        <w:rPr>
          <w:rFonts w:hint="eastAsia" w:ascii="宋体" w:hAnsi="宋体" w:cs="宋体"/>
          <w:sz w:val="21"/>
          <w:szCs w:val="21"/>
        </w:rPr>
        <w:t>(2)暂列金额：</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人民币(大写)</w:t>
      </w:r>
      <w:r>
        <w:rPr>
          <w:rFonts w:hint="eastAsia" w:ascii="宋体" w:hAnsi="宋体" w:cs="宋体"/>
          <w:sz w:val="21"/>
          <w:szCs w:val="21"/>
          <w:u w:val="single"/>
        </w:rPr>
        <w:t xml:space="preserve">                    </w:t>
      </w:r>
      <w:r>
        <w:rPr>
          <w:rFonts w:hint="eastAsia" w:ascii="宋体" w:hAnsi="宋体" w:cs="宋体"/>
          <w:sz w:val="21"/>
          <w:szCs w:val="21"/>
        </w:rPr>
        <w:t xml:space="preserve"> (￥</w:t>
      </w:r>
      <w:r>
        <w:rPr>
          <w:rFonts w:hint="eastAsia" w:ascii="宋体" w:hAnsi="宋体" w:cs="宋体"/>
          <w:sz w:val="21"/>
          <w:szCs w:val="21"/>
          <w:u w:val="single"/>
        </w:rPr>
        <w:t xml:space="preserve">                </w:t>
      </w:r>
      <w:r>
        <w:rPr>
          <w:rFonts w:hint="eastAsia" w:ascii="宋体" w:hAnsi="宋体" w:cs="宋体"/>
          <w:sz w:val="21"/>
          <w:szCs w:val="21"/>
        </w:rPr>
        <w:t>元)；</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2.合同价格形式：</w:t>
      </w:r>
      <w:r>
        <w:rPr>
          <w:rFonts w:hint="eastAsia" w:ascii="宋体" w:hAnsi="宋体" w:cs="宋体"/>
          <w:sz w:val="21"/>
          <w:szCs w:val="21"/>
          <w:u w:val="single"/>
        </w:rPr>
        <w:t xml:space="preserve"> 固定</w:t>
      </w:r>
      <w:r>
        <w:rPr>
          <w:rFonts w:hint="eastAsia" w:ascii="宋体" w:hAnsi="宋体"/>
          <w:szCs w:val="21"/>
          <w:u w:val="single"/>
        </w:rPr>
        <w:t>综合单价</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五、项目经理：</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六、合同文件构成</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本协议书与下列文件一起构成合同文件：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（1）中标通知书（如有）；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（2）投标函及其附录（如有）；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（3）专用合同条款及其附件；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（4）通用合同条款；</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（5）技术标准和要求；</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（6）图纸（如有）；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（7）投标文件；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（8）其他合同文件。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在合同订立及履行过程中形成的与合同有关的文件均构成合同文件组成部分。</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上述各项合同文件包括合同当事人就该项合同文件所作出的补充和修改，属于同一类内容的文件，应以最新签署的为准。专用合同条款及其附件须经合同当事人签字或盖章。</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七、承诺</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1.发包人承诺按照法律规定履行项目审批手续、筹集工程建设资金并按照合同约定的期限和方式支付合同价款。</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2.承包人承诺按照法律规定及合同约定组织完成工程施工，确保工程质量和安全，不进行转包及违法分包，并在缺陷责任期及保修期内承担相应的工程维修责任。</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3.发包人和承包人通过招投标形式签订合同的，双方理解并承诺不再就同一工程另行签订与合同实质性内容相背离的协议。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八、词语含义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本协议书中词语含义与第二部分通用合同条款中赋予的含义相同。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九、签订时间</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本合同于</w:t>
      </w:r>
      <w:r>
        <w:rPr>
          <w:rFonts w:hint="eastAsia" w:ascii="宋体" w:hAnsi="宋体" w:cs="宋体"/>
          <w:sz w:val="21"/>
          <w:szCs w:val="21"/>
          <w:u w:val="single"/>
        </w:rPr>
        <w:t xml:space="preserve">     年    月     日</w:t>
      </w:r>
      <w:r>
        <w:rPr>
          <w:rFonts w:hint="eastAsia" w:ascii="宋体" w:hAnsi="宋体" w:cs="宋体"/>
          <w:sz w:val="21"/>
          <w:szCs w:val="21"/>
        </w:rPr>
        <w:t>签订。</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十、签订地点</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本合同在</w:t>
      </w:r>
      <w:r>
        <w:rPr>
          <w:rFonts w:hint="eastAsia" w:ascii="宋体" w:hAnsi="宋体" w:cs="宋体"/>
          <w:bCs/>
          <w:sz w:val="21"/>
          <w:szCs w:val="21"/>
          <w:u w:val="single"/>
        </w:rPr>
        <w:t>常州市金坛区直溪镇人民政府</w:t>
      </w:r>
      <w:r>
        <w:rPr>
          <w:rFonts w:hint="eastAsia" w:ascii="宋体" w:hAnsi="宋体" w:cs="宋体"/>
          <w:sz w:val="21"/>
          <w:szCs w:val="21"/>
        </w:rPr>
        <w:t>签订。</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十一、补充协议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合同未尽事宜，按直政发</w:t>
      </w:r>
      <w:r>
        <w:rPr>
          <w:rFonts w:hint="eastAsia" w:ascii="宋体" w:hAnsi="宋体" w:cs="宋体"/>
          <w:sz w:val="21"/>
          <w:szCs w:val="21"/>
          <w:lang w:eastAsia="zh-CN"/>
        </w:rPr>
        <w:t>【2021】20</w:t>
      </w:r>
      <w:r>
        <w:rPr>
          <w:rFonts w:hint="eastAsia" w:ascii="宋体" w:hAnsi="宋体" w:cs="宋体"/>
          <w:sz w:val="21"/>
          <w:szCs w:val="21"/>
        </w:rPr>
        <w:t>号文中的相关规定执行。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十二、合同生效</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本合同</w:t>
      </w:r>
      <w:bookmarkStart w:id="103" w:name="EBac757d1d842646d2938ab3a39a9c2528"/>
      <w:r>
        <w:rPr>
          <w:rFonts w:hint="eastAsia" w:ascii="宋体" w:hAnsi="宋体" w:cs="宋体"/>
          <w:sz w:val="21"/>
          <w:szCs w:val="21"/>
        </w:rPr>
        <w:t>自</w:t>
      </w:r>
      <w:r>
        <w:rPr>
          <w:rFonts w:hint="eastAsia" w:ascii="宋体" w:hAnsi="宋体" w:cs="宋体"/>
          <w:sz w:val="21"/>
          <w:szCs w:val="21"/>
          <w:u w:val="single"/>
        </w:rPr>
        <w:t>发包人和承包人的法定代表人或其委托代理人在合同协议书上签字并盖单位章后,合同生效</w:t>
      </w:r>
      <w:bookmarkEnd w:id="103"/>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十三、合同份数</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本合同一式</w:t>
      </w:r>
      <w:r>
        <w:rPr>
          <w:rFonts w:hint="eastAsia" w:ascii="宋体" w:hAnsi="宋体" w:cs="宋体"/>
          <w:sz w:val="21"/>
          <w:szCs w:val="21"/>
          <w:u w:val="single"/>
        </w:rPr>
        <w:t>陆</w:t>
      </w:r>
      <w:r>
        <w:rPr>
          <w:rFonts w:hint="eastAsia" w:ascii="宋体" w:hAnsi="宋体" w:cs="宋体"/>
          <w:sz w:val="21"/>
          <w:szCs w:val="21"/>
        </w:rPr>
        <w:t>份，均具有同等法律效力，发包人执</w:t>
      </w:r>
      <w:r>
        <w:rPr>
          <w:rFonts w:hint="eastAsia" w:ascii="宋体" w:hAnsi="宋体" w:cs="宋体"/>
          <w:sz w:val="21"/>
          <w:szCs w:val="21"/>
          <w:u w:val="single"/>
        </w:rPr>
        <w:t>肆</w:t>
      </w:r>
      <w:r>
        <w:rPr>
          <w:rFonts w:hint="eastAsia" w:ascii="宋体" w:hAnsi="宋体" w:cs="宋体"/>
          <w:sz w:val="21"/>
          <w:szCs w:val="21"/>
        </w:rPr>
        <w:t>份，承包人执</w:t>
      </w:r>
      <w:r>
        <w:rPr>
          <w:rFonts w:hint="eastAsia" w:ascii="宋体" w:hAnsi="宋体" w:cs="宋体"/>
          <w:sz w:val="21"/>
          <w:szCs w:val="21"/>
          <w:u w:val="single"/>
        </w:rPr>
        <w:t>贰</w:t>
      </w:r>
      <w:r>
        <w:rPr>
          <w:rFonts w:hint="eastAsia" w:ascii="宋体" w:hAnsi="宋体" w:cs="宋体"/>
          <w:sz w:val="21"/>
          <w:szCs w:val="21"/>
        </w:rPr>
        <w:t>份。</w:t>
      </w:r>
    </w:p>
    <w:p>
      <w:pPr>
        <w:pageBreakBefore w:val="0"/>
        <w:kinsoku/>
        <w:wordWrap w:val="0"/>
        <w:overflowPunct/>
        <w:topLinePunct/>
        <w:autoSpaceDE/>
        <w:autoSpaceDN/>
        <w:bidi w:val="0"/>
        <w:textAlignment w:val="auto"/>
        <w:rPr>
          <w:rFonts w:hint="eastAsia" w:ascii="宋体" w:hAnsi="宋体" w:cs="宋体"/>
          <w:sz w:val="21"/>
          <w:szCs w:val="21"/>
        </w:rPr>
      </w:pP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发包人：　　(公章)                          承包人：　　(公章)</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法定代表人或其委托代理人：(签字)            法定代表人或其委托代理人：(签字)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地　　址：                              </w:t>
      </w:r>
      <w:r>
        <w:rPr>
          <w:rFonts w:ascii="宋体" w:hAnsi="宋体" w:cs="宋体"/>
          <w:sz w:val="21"/>
          <w:szCs w:val="21"/>
        </w:rPr>
        <w:t xml:space="preserve">    </w:t>
      </w:r>
      <w:r>
        <w:rPr>
          <w:rFonts w:hint="eastAsia" w:ascii="宋体" w:hAnsi="宋体" w:cs="宋体"/>
          <w:sz w:val="21"/>
          <w:szCs w:val="21"/>
        </w:rPr>
        <w:t>地　　址：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邮政编码： 　                         </w:t>
      </w:r>
      <w:r>
        <w:rPr>
          <w:rFonts w:ascii="宋体" w:hAnsi="宋体" w:cs="宋体"/>
          <w:sz w:val="21"/>
          <w:szCs w:val="21"/>
        </w:rPr>
        <w:t xml:space="preserve">      </w:t>
      </w:r>
      <w:r>
        <w:rPr>
          <w:rFonts w:hint="eastAsia" w:ascii="宋体" w:hAnsi="宋体" w:cs="宋体"/>
          <w:sz w:val="21"/>
          <w:szCs w:val="21"/>
        </w:rPr>
        <w:t>邮政编码：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电　　话：                             </w:t>
      </w:r>
      <w:r>
        <w:rPr>
          <w:rFonts w:ascii="宋体" w:hAnsi="宋体" w:cs="宋体"/>
          <w:sz w:val="21"/>
          <w:szCs w:val="21"/>
        </w:rPr>
        <w:t xml:space="preserve">     </w:t>
      </w:r>
      <w:r>
        <w:rPr>
          <w:rFonts w:hint="eastAsia" w:ascii="宋体" w:hAnsi="宋体" w:cs="宋体"/>
          <w:sz w:val="21"/>
          <w:szCs w:val="21"/>
        </w:rPr>
        <w:t>电　　话：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开户银行：                            </w:t>
      </w:r>
      <w:r>
        <w:rPr>
          <w:rFonts w:ascii="宋体" w:hAnsi="宋体" w:cs="宋体"/>
          <w:sz w:val="21"/>
          <w:szCs w:val="21"/>
        </w:rPr>
        <w:t xml:space="preserve">      </w:t>
      </w:r>
      <w:r>
        <w:rPr>
          <w:rFonts w:hint="eastAsia" w:ascii="宋体" w:hAnsi="宋体" w:cs="宋体"/>
          <w:sz w:val="21"/>
          <w:szCs w:val="21"/>
        </w:rPr>
        <w:t xml:space="preserve">开户银行：                       　                                        </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 xml:space="preserve">账　　号：                            </w:t>
      </w:r>
      <w:r>
        <w:rPr>
          <w:rFonts w:ascii="宋体" w:hAnsi="宋体" w:cs="宋体"/>
          <w:sz w:val="21"/>
          <w:szCs w:val="21"/>
        </w:rPr>
        <w:t xml:space="preserve">      </w:t>
      </w:r>
      <w:r>
        <w:rPr>
          <w:rFonts w:hint="eastAsia" w:ascii="宋体" w:hAnsi="宋体" w:cs="宋体"/>
          <w:sz w:val="21"/>
          <w:szCs w:val="21"/>
        </w:rPr>
        <w:t xml:space="preserve">账　　号：                       　    </w:t>
      </w: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bookmarkStart w:id="104" w:name="_Toc454950474"/>
      <w:bookmarkStart w:id="105" w:name="_Toc491507694"/>
      <w:bookmarkStart w:id="106" w:name="_Toc455136285"/>
      <w:bookmarkStart w:id="107" w:name="_Toc267475120"/>
      <w:bookmarkStart w:id="108" w:name="_Toc353198230"/>
      <w:bookmarkStart w:id="109" w:name="_Toc263777215"/>
      <w:bookmarkStart w:id="110" w:name="_Toc263777219"/>
      <w:bookmarkStart w:id="111" w:name="_Toc276025334"/>
      <w:bookmarkStart w:id="112" w:name="_Toc353211825"/>
      <w:bookmarkStart w:id="113" w:name="_Toc267475116"/>
      <w:bookmarkStart w:id="114" w:name="_Toc307558403"/>
      <w:bookmarkStart w:id="115" w:name="_Toc276025338"/>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ageBreakBefore w:val="0"/>
        <w:kinsoku/>
        <w:wordWrap w:val="0"/>
        <w:overflowPunct/>
        <w:topLinePunct/>
        <w:autoSpaceDE/>
        <w:autoSpaceDN/>
        <w:bidi w:val="0"/>
        <w:textAlignment w:val="auto"/>
        <w:rPr>
          <w:rFonts w:hint="eastAsia" w:ascii="宋体" w:cs="宋体"/>
          <w:sz w:val="28"/>
          <w:szCs w:val="28"/>
        </w:rPr>
      </w:pPr>
    </w:p>
    <w:p>
      <w:pPr>
        <w:pStyle w:val="30"/>
        <w:pageBreakBefore w:val="0"/>
        <w:kinsoku/>
        <w:wordWrap w:val="0"/>
        <w:overflowPunct/>
        <w:topLinePunct/>
        <w:autoSpaceDE/>
        <w:autoSpaceDN/>
        <w:bidi w:val="0"/>
        <w:textAlignment w:val="auto"/>
        <w:rPr>
          <w:rFonts w:hint="eastAsia" w:ascii="宋体" w:cs="宋体"/>
          <w:sz w:val="28"/>
          <w:szCs w:val="28"/>
        </w:rPr>
      </w:pPr>
    </w:p>
    <w:p>
      <w:pPr>
        <w:pStyle w:val="30"/>
        <w:pageBreakBefore w:val="0"/>
        <w:kinsoku/>
        <w:wordWrap w:val="0"/>
        <w:overflowPunct/>
        <w:topLinePunct/>
        <w:autoSpaceDE/>
        <w:autoSpaceDN/>
        <w:bidi w:val="0"/>
        <w:textAlignment w:val="auto"/>
        <w:rPr>
          <w:rFonts w:hint="eastAsia" w:ascii="宋体" w:cs="宋体"/>
          <w:sz w:val="28"/>
          <w:szCs w:val="28"/>
        </w:rPr>
      </w:pPr>
    </w:p>
    <w:p>
      <w:pPr>
        <w:pStyle w:val="30"/>
        <w:pageBreakBefore w:val="0"/>
        <w:kinsoku/>
        <w:wordWrap w:val="0"/>
        <w:overflowPunct/>
        <w:topLinePunct/>
        <w:autoSpaceDE/>
        <w:autoSpaceDN/>
        <w:bidi w:val="0"/>
        <w:textAlignment w:val="auto"/>
        <w:rPr>
          <w:rFonts w:hint="eastAsia" w:ascii="宋体" w:cs="宋体"/>
          <w:sz w:val="28"/>
          <w:szCs w:val="28"/>
        </w:rPr>
      </w:pPr>
    </w:p>
    <w:p>
      <w:pPr>
        <w:pStyle w:val="30"/>
        <w:pageBreakBefore w:val="0"/>
        <w:kinsoku/>
        <w:wordWrap w:val="0"/>
        <w:overflowPunct/>
        <w:topLinePunct/>
        <w:autoSpaceDE/>
        <w:autoSpaceDN/>
        <w:bidi w:val="0"/>
        <w:textAlignment w:val="auto"/>
        <w:rPr>
          <w:rFonts w:hint="eastAsia" w:ascii="宋体" w:cs="宋体"/>
          <w:sz w:val="28"/>
          <w:szCs w:val="28"/>
        </w:rPr>
      </w:pPr>
    </w:p>
    <w:p>
      <w:pPr>
        <w:pStyle w:val="30"/>
        <w:pageBreakBefore w:val="0"/>
        <w:kinsoku/>
        <w:wordWrap w:val="0"/>
        <w:overflowPunct/>
        <w:topLinePunct/>
        <w:autoSpaceDE/>
        <w:autoSpaceDN/>
        <w:bidi w:val="0"/>
        <w:textAlignment w:val="auto"/>
        <w:rPr>
          <w:rFonts w:hint="eastAsia" w:ascii="宋体" w:cs="宋体"/>
          <w:sz w:val="28"/>
          <w:szCs w:val="28"/>
        </w:rPr>
      </w:pPr>
    </w:p>
    <w:p>
      <w:pPr>
        <w:pStyle w:val="30"/>
        <w:pageBreakBefore w:val="0"/>
        <w:kinsoku/>
        <w:wordWrap w:val="0"/>
        <w:overflowPunct/>
        <w:topLinePunct/>
        <w:autoSpaceDE/>
        <w:autoSpaceDN/>
        <w:bidi w:val="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r>
        <w:rPr>
          <w:rFonts w:hint="eastAsia" w:ascii="宋体" w:cs="宋体"/>
          <w:sz w:val="28"/>
          <w:szCs w:val="28"/>
        </w:rPr>
        <w:t>第二部分 通用合同条款</w:t>
      </w:r>
      <w:bookmarkEnd w:id="104"/>
      <w:bookmarkEnd w:id="105"/>
      <w:bookmarkEnd w:id="106"/>
    </w:p>
    <w:p>
      <w:pPr>
        <w:pageBreakBefore w:val="0"/>
        <w:kinsoku/>
        <w:wordWrap w:val="0"/>
        <w:overflowPunct/>
        <w:topLinePunct/>
        <w:autoSpaceDE/>
        <w:autoSpaceDN/>
        <w:bidi w:val="0"/>
        <w:spacing w:line="400" w:lineRule="exact"/>
        <w:textAlignment w:val="auto"/>
        <w:rPr>
          <w:rFonts w:hint="eastAsia" w:ascii="宋体" w:hAnsi="宋体"/>
          <w:b/>
          <w:sz w:val="21"/>
          <w:szCs w:val="21"/>
        </w:rPr>
      </w:pPr>
      <w:r>
        <w:rPr>
          <w:rFonts w:hint="eastAsia" w:ascii="宋体" w:hAnsi="宋体"/>
          <w:sz w:val="21"/>
          <w:szCs w:val="21"/>
        </w:rPr>
        <w:t>此部分采用《建设工程施工合同》范本（GF-2013-0201）中《第二部分  通用条款》。</w:t>
      </w:r>
    </w:p>
    <w:p>
      <w:pPr>
        <w:pStyle w:val="4"/>
        <w:keepNext w:val="0"/>
        <w:keepLines w:val="0"/>
        <w:pageBreakBefore w:val="0"/>
        <w:kinsoku/>
        <w:wordWrap w:val="0"/>
        <w:overflowPunct/>
        <w:topLinePunct/>
        <w:autoSpaceDE/>
        <w:autoSpaceDN/>
        <w:bidi w:val="0"/>
        <w:spacing w:before="120"/>
        <w:textAlignment w:val="auto"/>
        <w:rPr>
          <w:rFonts w:hint="eastAsia" w:ascii="宋体" w:cs="宋体"/>
          <w:sz w:val="28"/>
          <w:szCs w:val="28"/>
        </w:rPr>
      </w:pPr>
      <w:bookmarkStart w:id="116" w:name="_Toc454950475"/>
      <w:bookmarkStart w:id="117" w:name="_Toc455136286"/>
      <w:bookmarkStart w:id="118" w:name="_Toc491507695"/>
      <w:r>
        <w:rPr>
          <w:rFonts w:hint="eastAsia" w:ascii="宋体" w:cs="宋体"/>
          <w:sz w:val="28"/>
          <w:szCs w:val="28"/>
        </w:rPr>
        <w:t>第三部分 专用合同条款</w:t>
      </w:r>
      <w:bookmarkEnd w:id="116"/>
      <w:bookmarkEnd w:id="117"/>
      <w:bookmarkEnd w:id="118"/>
    </w:p>
    <w:bookmarkEnd w:id="107"/>
    <w:bookmarkEnd w:id="108"/>
    <w:bookmarkEnd w:id="109"/>
    <w:bookmarkEnd w:id="110"/>
    <w:bookmarkEnd w:id="111"/>
    <w:bookmarkEnd w:id="112"/>
    <w:bookmarkEnd w:id="113"/>
    <w:bookmarkEnd w:id="114"/>
    <w:bookmarkEnd w:id="115"/>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19" w:name="_Toc491507696"/>
      <w:bookmarkStart w:id="120" w:name="_Toc455136287"/>
      <w:bookmarkStart w:id="121" w:name="_Toc351203652"/>
      <w:r>
        <w:rPr>
          <w:rFonts w:cs="宋体"/>
          <w:color w:val="auto"/>
          <w:sz w:val="21"/>
          <w:szCs w:val="21"/>
        </w:rPr>
        <w:t xml:space="preserve">1 </w:t>
      </w:r>
      <w:r>
        <w:rPr>
          <w:rFonts w:hint="eastAsia" w:cs="宋体"/>
          <w:color w:val="auto"/>
          <w:sz w:val="21"/>
          <w:szCs w:val="21"/>
        </w:rPr>
        <w:t>一般约定</w:t>
      </w:r>
      <w:bookmarkEnd w:id="119"/>
      <w:bookmarkEnd w:id="120"/>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1.1 词语定义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1.1.1 合同</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1.1.1.10 其他合同文件包括：</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1.1.2 合同当事人及其他相关方</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1.1.2.4 监理人：</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名　　称：</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cs="宋体"/>
          <w:sz w:val="21"/>
          <w:szCs w:val="21"/>
        </w:rPr>
      </w:pPr>
      <w:r>
        <w:rPr>
          <w:rFonts w:hint="eastAsia" w:ascii="宋体" w:hAnsi="宋体" w:cs="宋体"/>
          <w:sz w:val="21"/>
          <w:szCs w:val="21"/>
        </w:rPr>
        <w:t>资质类别和等级：</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sz w:val="21"/>
          <w:szCs w:val="21"/>
        </w:rPr>
      </w:pPr>
      <w:r>
        <w:rPr>
          <w:rFonts w:hint="eastAsia" w:ascii="宋体" w:hAnsi="宋体" w:cs="宋体"/>
          <w:sz w:val="21"/>
          <w:szCs w:val="21"/>
        </w:rPr>
        <w:t>联系电话：</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1.1.2.5 设计人：</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名　　称：</w:t>
      </w:r>
      <w:r>
        <w:rPr>
          <w:rFonts w:hint="eastAsia" w:ascii="宋体" w:hAnsi="宋体" w:cs="宋体"/>
          <w:sz w:val="21"/>
          <w:szCs w:val="21"/>
          <w:u w:val="single"/>
        </w:rPr>
        <w:t xml:space="preserve">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资质类别和等级：</w:t>
      </w:r>
      <w:r>
        <w:rPr>
          <w:rFonts w:hint="eastAsia" w:ascii="宋体" w:hAnsi="宋体" w:cs="宋体"/>
          <w:sz w:val="21"/>
          <w:szCs w:val="21"/>
          <w:u w:val="single"/>
        </w:rPr>
        <w:t xml:space="preserve">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联系电话：</w:t>
      </w:r>
      <w:r>
        <w:rPr>
          <w:rFonts w:hint="eastAsia" w:ascii="宋体" w:hAnsi="宋体" w:cs="宋体"/>
          <w:sz w:val="21"/>
          <w:szCs w:val="21"/>
          <w:u w:val="single"/>
        </w:rPr>
        <w:t xml:space="preserve">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1.1.3 工程和设备</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1.1.3.7 作为施工现场组成部分的其他场所包括：</w:t>
      </w:r>
      <w:r>
        <w:rPr>
          <w:rFonts w:hint="eastAsia" w:ascii="宋体" w:hAnsi="宋体" w:cs="宋体"/>
          <w:sz w:val="21"/>
          <w:szCs w:val="21"/>
          <w:u w:val="single"/>
        </w:rPr>
        <w:t xml:space="preserve">现场临时办公及施工场地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1.1.3.9 永久占地包括：</w:t>
      </w:r>
      <w:r>
        <w:rPr>
          <w:rFonts w:hint="eastAsia" w:ascii="宋体" w:hAnsi="宋体" w:cs="宋体"/>
          <w:sz w:val="21"/>
          <w:szCs w:val="21"/>
          <w:u w:val="single"/>
        </w:rPr>
        <w:t xml:space="preserve">按照设计图纸确定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1.1.3.10 临时占地包括：</w:t>
      </w:r>
      <w:r>
        <w:rPr>
          <w:rFonts w:hint="eastAsia" w:ascii="宋体" w:hAnsi="宋体" w:cs="宋体"/>
          <w:sz w:val="21"/>
          <w:szCs w:val="21"/>
          <w:u w:val="single"/>
        </w:rPr>
        <w:t xml:space="preserve">合同履行中确定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 法律</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适用于合同的其他规范性文件：</w:t>
      </w:r>
      <w:r>
        <w:rPr>
          <w:rFonts w:hint="eastAsia" w:ascii="宋体" w:hAnsi="宋体" w:cs="宋体"/>
          <w:sz w:val="21"/>
          <w:szCs w:val="21"/>
          <w:u w:val="single"/>
        </w:rPr>
        <w:t>《中华人民共和国合同法》、《中华人民共和国建筑法》、《中华人民共和国招标投标法》、《中华人民共和国招标投标法实施条例》、《中华人民共和国担保法》、《中华人民共和国政府采购法》、《建设工程质量管理条例》、《建设工程安全生产管理条例》、坛政规《2017》2号文、直政发</w:t>
      </w:r>
      <w:r>
        <w:rPr>
          <w:rFonts w:hint="eastAsia" w:ascii="宋体" w:hAnsi="宋体" w:cs="宋体"/>
          <w:sz w:val="21"/>
          <w:szCs w:val="21"/>
          <w:u w:val="single"/>
          <w:lang w:eastAsia="zh-CN"/>
        </w:rPr>
        <w:t>【2021】20</w:t>
      </w:r>
      <w:r>
        <w:rPr>
          <w:rFonts w:hint="eastAsia" w:ascii="宋体" w:hAnsi="宋体" w:cs="宋体"/>
          <w:sz w:val="21"/>
          <w:szCs w:val="21"/>
          <w:u w:val="single"/>
        </w:rPr>
        <w:t>号文及其他相关国家和地方法律、法规、规章。</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1.4 标准和规范</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1.4.1 适用于工程的标准规范包括：</w:t>
      </w:r>
      <w:r>
        <w:rPr>
          <w:rFonts w:hint="eastAsia" w:ascii="宋体" w:hAnsi="宋体" w:cs="宋体"/>
          <w:sz w:val="21"/>
          <w:szCs w:val="21"/>
          <w:u w:val="single"/>
        </w:rPr>
        <w:t>有关建设工程的标准和规范、规程，建筑质量验收评定标准，施工图纸以及设计文件所载明的标准、规范、规程等。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1.4.3 发包人对工程的技术标准和功能要求的特殊要求：</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1.5 合同文件的优先顺序</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合同文件组成及优先顺序为：</w:t>
      </w:r>
      <w:r>
        <w:rPr>
          <w:rFonts w:hint="eastAsia" w:ascii="宋体" w:hAnsi="宋体" w:cs="宋体"/>
          <w:sz w:val="21"/>
          <w:szCs w:val="21"/>
          <w:u w:val="single"/>
        </w:rPr>
        <w:t>（1）合同协议书；（2）中标通知书；（3）投标函及其附录；（4）专用合同条款及其附件；（5）通用合同条款；（6）技术标准和要求；（7）图纸；（8）投标文件；（9）其他文件。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 图纸和承包人文件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1.6.1 图纸的提供</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发包人向承包人提供图纸的期限：</w:t>
      </w:r>
      <w:bookmarkStart w:id="122" w:name="EBfdeb007842ea42c8a8d8244144429946"/>
      <w:r>
        <w:rPr>
          <w:rFonts w:hint="eastAsia" w:ascii="宋体" w:hAnsi="宋体" w:cs="宋体"/>
          <w:sz w:val="21"/>
          <w:szCs w:val="21"/>
          <w:u w:val="single"/>
        </w:rPr>
        <w:t>开工前7天</w:t>
      </w:r>
      <w:bookmarkEnd w:id="122"/>
      <w:r>
        <w:rPr>
          <w:rFonts w:hint="eastAsia" w:ascii="宋体" w:hAnsi="宋体" w:cs="宋体"/>
          <w:sz w:val="21"/>
          <w:szCs w:val="21"/>
          <w:u w:val="single"/>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发包人向承包人提供图纸的数量：</w:t>
      </w:r>
      <w:bookmarkStart w:id="123" w:name="EBd0ac771692dc4c5b852a3948876889b6"/>
      <w:r>
        <w:rPr>
          <w:rFonts w:hint="eastAsia" w:ascii="宋体" w:hAnsi="宋体" w:cs="宋体"/>
          <w:sz w:val="21"/>
          <w:szCs w:val="21"/>
        </w:rPr>
        <w:t>贰</w:t>
      </w:r>
      <w:r>
        <w:rPr>
          <w:rFonts w:hint="eastAsia" w:ascii="宋体" w:hAnsi="宋体" w:cs="宋体"/>
          <w:sz w:val="21"/>
          <w:szCs w:val="21"/>
          <w:u w:val="single"/>
        </w:rPr>
        <w:t>套</w:t>
      </w:r>
      <w:bookmarkEnd w:id="123"/>
      <w:r>
        <w:rPr>
          <w:rFonts w:hint="eastAsia" w:ascii="宋体" w:hAnsi="宋体" w:cs="宋体"/>
          <w:sz w:val="21"/>
          <w:szCs w:val="21"/>
          <w:u w:val="single"/>
        </w:rPr>
        <w:t>，承包人可自费复印更多份数；</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发包人向承包人提供图纸的内容：</w:t>
      </w:r>
      <w:r>
        <w:rPr>
          <w:rFonts w:hint="eastAsia" w:ascii="宋体" w:hAnsi="宋体" w:cs="宋体"/>
          <w:sz w:val="21"/>
          <w:szCs w:val="21"/>
          <w:u w:val="single"/>
        </w:rPr>
        <w:t>提供全部施工图纸（如有）。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1.6.4 承包人文件：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需要由承包人提供的文件，包括：</w:t>
      </w:r>
      <w:r>
        <w:rPr>
          <w:rFonts w:hint="eastAsia" w:ascii="宋体" w:hAnsi="宋体" w:cs="宋体"/>
          <w:sz w:val="21"/>
          <w:szCs w:val="21"/>
          <w:u w:val="single"/>
        </w:rPr>
        <w:t>包含但不限于发包人和监理人要求的各类报表、验收资料及竣工资料等；</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发包人要求的时间内；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承包人提供的文件的数量为：</w:t>
      </w:r>
      <w:r>
        <w:rPr>
          <w:rFonts w:hint="eastAsia" w:ascii="宋体" w:hAnsi="宋体" w:cs="宋体"/>
          <w:sz w:val="21"/>
          <w:szCs w:val="21"/>
          <w:u w:val="single"/>
        </w:rPr>
        <w:t>一式肆份（含竣工图）；</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承包人提供的文件的形式为：</w:t>
      </w:r>
      <w:r>
        <w:rPr>
          <w:rFonts w:hint="eastAsia" w:ascii="宋体" w:hAnsi="宋体" w:cs="宋体"/>
          <w:sz w:val="21"/>
          <w:szCs w:val="21"/>
          <w:u w:val="single"/>
        </w:rPr>
        <w:t>纸质和电子文件；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发包人审批承包人文件的期限：</w:t>
      </w:r>
      <w:bookmarkStart w:id="124" w:name="EB5534a68665764e60a671cd5b215eafef"/>
      <w:r>
        <w:rPr>
          <w:rFonts w:hint="eastAsia" w:ascii="宋体" w:hAnsi="宋体" w:cs="宋体"/>
          <w:sz w:val="21"/>
          <w:szCs w:val="21"/>
          <w:u w:val="single"/>
        </w:rPr>
        <w:t>承包人提供相应文件后7天内</w:t>
      </w:r>
      <w:bookmarkEnd w:id="124"/>
      <w:r>
        <w:rPr>
          <w:rFonts w:hint="eastAsia" w:ascii="宋体" w:hAnsi="宋体" w:cs="宋体"/>
          <w:sz w:val="21"/>
          <w:szCs w:val="21"/>
          <w:u w:val="single"/>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1.6.5 现场图纸准备 </w:t>
      </w:r>
    </w:p>
    <w:p>
      <w:pPr>
        <w:pageBreakBefore w:val="0"/>
        <w:kinsoku/>
        <w:wordWrap w:val="0"/>
        <w:overflowPunct/>
        <w:topLinePunct/>
        <w:autoSpaceDE/>
        <w:autoSpaceDN/>
        <w:bidi w:val="0"/>
        <w:textAlignment w:val="auto"/>
        <w:rPr>
          <w:rFonts w:hint="eastAsia" w:ascii="宋体" w:hAnsi="宋体"/>
          <w:szCs w:val="21"/>
        </w:rPr>
      </w:pPr>
      <w:r>
        <w:rPr>
          <w:rFonts w:hint="eastAsia" w:ascii="宋体" w:hAnsi="宋体" w:cs="宋体"/>
          <w:sz w:val="21"/>
          <w:szCs w:val="21"/>
        </w:rPr>
        <w:t>关于现场图纸准备的约定：</w:t>
      </w:r>
      <w:bookmarkStart w:id="125" w:name="EBbaaf638e2732405bafca1782d48843c5"/>
      <w:r>
        <w:rPr>
          <w:rFonts w:hint="eastAsia" w:ascii="宋体" w:hAnsi="宋体" w:cs="宋体"/>
          <w:sz w:val="21"/>
          <w:szCs w:val="21"/>
          <w:u w:val="single"/>
        </w:rPr>
        <w:t>承包人应在施工现场另外保存一套完整的图纸和承包人文件，供发包人、监理人及有关人员进行工程检查时使用。</w:t>
      </w:r>
      <w:bookmarkEnd w:id="125"/>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1.7 联络</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1.7.1 发包人和承包人应当在</w:t>
      </w:r>
      <w:r>
        <w:rPr>
          <w:rFonts w:hint="eastAsia" w:ascii="宋体" w:hAnsi="宋体" w:cs="宋体"/>
          <w:sz w:val="21"/>
          <w:szCs w:val="21"/>
          <w:u w:val="single"/>
        </w:rPr>
        <w:t xml:space="preserve"> 7 </w:t>
      </w:r>
      <w:r>
        <w:rPr>
          <w:rFonts w:hint="eastAsia" w:ascii="宋体" w:hAnsi="宋体" w:cs="宋体"/>
          <w:sz w:val="21"/>
          <w:szCs w:val="21"/>
        </w:rPr>
        <w:t>天内将与合同有关的通知、批准、证明、证书、指示、指令、要求、请求、同意、意见、确定和决定等书面函件送达对方当事人。</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1.7.2 发包人接收文件的地点：</w:t>
      </w:r>
      <w:r>
        <w:rPr>
          <w:rFonts w:hint="eastAsia" w:ascii="宋体" w:hAnsi="宋体" w:cs="宋体"/>
          <w:sz w:val="21"/>
          <w:szCs w:val="21"/>
          <w:u w:val="single"/>
        </w:rPr>
        <w:t>现场相关单位；</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发包人指定的接收人为：</w:t>
      </w:r>
      <w:r>
        <w:rPr>
          <w:rFonts w:hint="eastAsia" w:ascii="宋体" w:hAnsi="宋体" w:cs="宋体"/>
          <w:sz w:val="21"/>
          <w:szCs w:val="21"/>
          <w:u w:val="single"/>
        </w:rPr>
        <w:t>发包人代表；</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承包人接收文件的地点：</w:t>
      </w:r>
      <w:r>
        <w:rPr>
          <w:rFonts w:hint="eastAsia" w:ascii="宋体" w:hAnsi="宋体" w:cs="宋体"/>
          <w:sz w:val="21"/>
          <w:szCs w:val="21"/>
          <w:u w:val="single"/>
        </w:rPr>
        <w:t>现场相关单位；</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项目经理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监理人接收文件的地点：</w:t>
      </w:r>
      <w:r>
        <w:rPr>
          <w:rFonts w:hint="eastAsia" w:ascii="宋体" w:hAnsi="宋体" w:cs="宋体"/>
          <w:sz w:val="21"/>
          <w:szCs w:val="21"/>
          <w:u w:val="single"/>
        </w:rPr>
        <w:t>现场相关单位；</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1.10 交通运输</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1.10.1　出入现场的权利</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关于出入现场的权利的约定：</w:t>
      </w:r>
      <w:r>
        <w:rPr>
          <w:rFonts w:hint="eastAsia" w:ascii="宋体" w:hAnsi="宋体" w:cs="宋体"/>
          <w:color w:val="0000FF"/>
          <w:sz w:val="21"/>
          <w:szCs w:val="21"/>
          <w:u w:val="single"/>
        </w:rPr>
        <w:t>按发包人要求执行</w:t>
      </w:r>
      <w:r>
        <w:rPr>
          <w:rFonts w:hint="eastAsia" w:ascii="宋体" w:hAnsi="宋体" w:cs="宋体"/>
          <w:sz w:val="21"/>
          <w:szCs w:val="21"/>
          <w:u w:val="single"/>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1.10.3 场内交通</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关于场外交通和场内交通的边界的约定：</w:t>
      </w:r>
      <w:r>
        <w:rPr>
          <w:rFonts w:hint="eastAsia" w:ascii="宋体" w:hAnsi="宋体" w:cs="宋体"/>
          <w:sz w:val="21"/>
          <w:szCs w:val="21"/>
          <w:u w:val="single"/>
        </w:rPr>
        <w:t>以规划总平图红线为边界。</w:t>
      </w:r>
    </w:p>
    <w:p>
      <w:pPr>
        <w:pageBreakBefore w:val="0"/>
        <w:kinsoku/>
        <w:wordWrap w:val="0"/>
        <w:overflowPunct/>
        <w:topLinePunct/>
        <w:autoSpaceDE/>
        <w:autoSpaceDN/>
        <w:bidi w:val="0"/>
        <w:textAlignment w:val="auto"/>
        <w:rPr>
          <w:rFonts w:hint="eastAsia" w:ascii="宋体" w:hAnsi="宋体"/>
          <w:color w:val="0000FF"/>
          <w:sz w:val="21"/>
          <w:szCs w:val="21"/>
          <w:u w:val="single"/>
        </w:rPr>
      </w:pPr>
      <w:r>
        <w:rPr>
          <w:rFonts w:hint="eastAsia" w:ascii="宋体" w:hAnsi="宋体" w:cs="宋体"/>
          <w:sz w:val="21"/>
          <w:szCs w:val="21"/>
        </w:rPr>
        <w:t>关于发包人向承包人免费提供满足工程施工需要的场内道路和交通设施的约定：</w:t>
      </w:r>
      <w:r>
        <w:rPr>
          <w:rFonts w:hint="eastAsia" w:ascii="宋体" w:hAnsi="宋体" w:cs="宋体"/>
          <w:color w:val="0000FF"/>
          <w:sz w:val="21"/>
          <w:szCs w:val="21"/>
          <w:u w:val="single"/>
        </w:rPr>
        <w:t>以现场实际施工条件为准。</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1.10.4 超大件和超重件的运输</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运输超大件或超重件所需的道路和桥梁临时加固改造费用和其他有关费用由</w:t>
      </w:r>
      <w:r>
        <w:rPr>
          <w:rFonts w:hint="eastAsia" w:ascii="宋体" w:hAnsi="宋体" w:cs="宋体"/>
          <w:sz w:val="21"/>
          <w:szCs w:val="21"/>
          <w:u w:val="single"/>
        </w:rPr>
        <w:t>承包人</w:t>
      </w:r>
      <w:r>
        <w:rPr>
          <w:rFonts w:hint="eastAsia" w:ascii="宋体" w:hAnsi="宋体" w:cs="宋体"/>
          <w:sz w:val="21"/>
          <w:szCs w:val="21"/>
        </w:rPr>
        <w:t>承担。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1.11 知识产权</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cs="宋体"/>
          <w:sz w:val="21"/>
          <w:szCs w:val="21"/>
          <w:u w:val="single"/>
        </w:rPr>
        <w:t>归发包人所有。</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关于承包人提供的上述文件的使用限制的要求：</w:t>
      </w:r>
      <w:r>
        <w:rPr>
          <w:rFonts w:hint="eastAsia" w:ascii="宋体" w:hAnsi="宋体" w:cs="宋体"/>
          <w:sz w:val="21"/>
          <w:szCs w:val="21"/>
          <w:u w:val="single"/>
        </w:rPr>
        <w:t>仅限于此工程项目。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1.13 工程量清单错误的修正</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出现工程量清单错误时，是否调整合同价格</w:t>
      </w:r>
      <w:r>
        <w:rPr>
          <w:rFonts w:hint="eastAsia" w:ascii="宋体" w:hAnsi="宋体" w:cs="宋体"/>
          <w:sz w:val="21"/>
          <w:szCs w:val="21"/>
          <w:u w:val="single"/>
        </w:rPr>
        <w:t>：1、由于计算错误时作相应修正；2、由于非主要项目缺项目的视作该项目的费用已包含在已有工程量清单的单价中，不得另行计算；3、由于主要项目缺项目的，按</w:t>
      </w:r>
      <w:r>
        <w:rPr>
          <w:rFonts w:hint="eastAsia" w:ascii="宋体" w:hAnsi="宋体"/>
          <w:sz w:val="21"/>
          <w:szCs w:val="21"/>
          <w:u w:val="single"/>
        </w:rPr>
        <w:t>按本专用条款12.1中的</w:t>
      </w:r>
      <w:r>
        <w:rPr>
          <w:rFonts w:hint="eastAsia" w:ascii="宋体" w:hAnsi="宋体" w:cs="宋体"/>
          <w:sz w:val="21"/>
          <w:szCs w:val="21"/>
        </w:rPr>
        <w:t>风险范围以外合同价格的调整方法中的第2款c条</w:t>
      </w:r>
      <w:r>
        <w:rPr>
          <w:rFonts w:hint="eastAsia" w:ascii="宋体" w:hAnsi="宋体" w:cs="宋体"/>
          <w:sz w:val="21"/>
          <w:szCs w:val="21"/>
          <w:u w:val="single"/>
        </w:rPr>
        <w:t>进行结算。</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26" w:name="_Toc491507697"/>
      <w:bookmarkStart w:id="127" w:name="_Toc455136288"/>
      <w:r>
        <w:rPr>
          <w:rFonts w:cs="宋体"/>
          <w:color w:val="auto"/>
          <w:sz w:val="21"/>
          <w:szCs w:val="21"/>
        </w:rPr>
        <w:t xml:space="preserve">2. </w:t>
      </w:r>
      <w:r>
        <w:rPr>
          <w:rFonts w:hint="eastAsia" w:cs="宋体"/>
          <w:color w:val="auto"/>
          <w:sz w:val="21"/>
          <w:szCs w:val="21"/>
        </w:rPr>
        <w:t>发包人</w:t>
      </w:r>
      <w:bookmarkEnd w:id="126"/>
      <w:bookmarkEnd w:id="127"/>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2.1 发包人代表</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发包人代表：</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姓　　名：</w:t>
      </w:r>
      <w:r>
        <w:rPr>
          <w:rFonts w:hint="eastAsia" w:ascii="宋体" w:hAnsi="宋体"/>
          <w:sz w:val="21"/>
          <w:szCs w:val="21"/>
          <w:u w:val="single"/>
        </w:rPr>
        <w:t xml:space="preserve">        </w:t>
      </w:r>
      <w:r>
        <w:rPr>
          <w:rFonts w:hint="eastAsia" w:ascii="宋体" w:hAnsi="宋体" w:cs="宋体"/>
          <w:sz w:val="21"/>
          <w:szCs w:val="21"/>
          <w:u w:val="single"/>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职　　务：</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发包人对发包人代表的授权范围如下：</w:t>
      </w:r>
      <w:r>
        <w:rPr>
          <w:rFonts w:hint="eastAsia" w:ascii="宋体" w:hAnsi="宋体" w:cs="宋体"/>
          <w:sz w:val="21"/>
          <w:szCs w:val="21"/>
          <w:u w:val="single"/>
        </w:rPr>
        <w:t>1、负责协调参建各方的工作关系；2、负责监督、抽检工程质量、进度、造价、安全文明施工等方面的工作。</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2.2发包人工程监管部门</w:t>
      </w:r>
    </w:p>
    <w:p>
      <w:pPr>
        <w:pageBreakBefore w:val="0"/>
        <w:widowControl w:val="0"/>
        <w:numPr>
          <w:ilvl w:val="0"/>
          <w:numId w:val="4"/>
        </w:numPr>
        <w:kinsoku/>
        <w:wordWrap w:val="0"/>
        <w:overflowPunct/>
        <w:topLinePunct/>
        <w:autoSpaceDE/>
        <w:autoSpaceDN/>
        <w:bidi w:val="0"/>
        <w:jc w:val="both"/>
        <w:textAlignment w:val="auto"/>
        <w:rPr>
          <w:rFonts w:hint="eastAsia" w:ascii="宋体" w:hAnsi="宋体" w:cs="宋体"/>
          <w:sz w:val="21"/>
          <w:szCs w:val="21"/>
        </w:rPr>
      </w:pPr>
      <w:r>
        <w:rPr>
          <w:rFonts w:hint="eastAsia" w:ascii="宋体" w:hAnsi="宋体" w:cs="宋体"/>
          <w:sz w:val="21"/>
          <w:szCs w:val="21"/>
        </w:rPr>
        <w:t>常州市金坛区直溪镇规划建设局</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人员：</w:t>
      </w:r>
      <w:r>
        <w:rPr>
          <w:rFonts w:hint="eastAsia" w:ascii="宋体" w:hAnsi="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rPr>
        <w:t>职责：</w:t>
      </w:r>
      <w:r>
        <w:rPr>
          <w:rFonts w:hint="eastAsia" w:ascii="宋体" w:hAnsi="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2.4 施工现场、施工条件和基础资料的提供</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2.4.1 提供施工现场</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2.4.2 提供施工条件</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关于发包人应负责提供施工所需要的条件，包括：</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1、施工过程中由发包人不提供水源和电源接驳点；</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2、若承包人在施工过程中盗用消防水，所产生的相应责任都由承包人承担；</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3、本工程水、电费用已按市场价包含在合同价中。</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2.5 资金来源证明及支付担保</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发包人提供资金来源证明的期限要求：</w:t>
      </w:r>
      <w:r>
        <w:rPr>
          <w:rFonts w:hint="eastAsia" w:ascii="宋体" w:hAnsi="宋体" w:cs="宋体"/>
          <w:sz w:val="21"/>
          <w:szCs w:val="21"/>
          <w:u w:val="single"/>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发包人是否提供支付担保：</w:t>
      </w:r>
      <w:r>
        <w:rPr>
          <w:rFonts w:hint="eastAsia" w:ascii="宋体" w:hAnsi="宋体" w:cs="宋体"/>
          <w:sz w:val="21"/>
          <w:szCs w:val="21"/>
          <w:u w:val="single"/>
        </w:rPr>
        <w:t>否。</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发包人提供支付担保的形式：</w:t>
      </w:r>
      <w:r>
        <w:rPr>
          <w:rFonts w:hint="eastAsia" w:ascii="宋体" w:hAnsi="宋体" w:cs="宋体"/>
          <w:sz w:val="21"/>
          <w:szCs w:val="21"/>
          <w:u w:val="single"/>
        </w:rPr>
        <w:t>无。</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28" w:name="_Toc455136289"/>
      <w:bookmarkStart w:id="129" w:name="_Toc491507698"/>
      <w:r>
        <w:rPr>
          <w:rFonts w:cs="宋体"/>
          <w:color w:val="auto"/>
          <w:sz w:val="21"/>
          <w:szCs w:val="21"/>
        </w:rPr>
        <w:t xml:space="preserve">3. </w:t>
      </w:r>
      <w:r>
        <w:rPr>
          <w:rFonts w:hint="eastAsia" w:cs="宋体"/>
          <w:color w:val="auto"/>
          <w:sz w:val="21"/>
          <w:szCs w:val="21"/>
        </w:rPr>
        <w:t>承包人</w:t>
      </w:r>
      <w:bookmarkEnd w:id="128"/>
      <w:bookmarkEnd w:id="129"/>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3.1 承包人的一般义务</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（9）承包人提交的竣工资料的内容：</w:t>
      </w:r>
      <w:r>
        <w:rPr>
          <w:rFonts w:hint="eastAsia" w:ascii="宋体" w:hAnsi="宋体" w:cs="宋体"/>
          <w:sz w:val="21"/>
          <w:szCs w:val="21"/>
          <w:u w:val="single"/>
        </w:rPr>
        <w:t>提交符合发包人及相关部门要求的竣工图及竣工资料；并提交完整的结算资料。发包人、监理单位要求提供的其他资料。</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承包人需要提交的竣工资料套数：一式肆份。</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承包人提交的竣工资料的费用承担：</w:t>
      </w:r>
      <w:r>
        <w:rPr>
          <w:rFonts w:hint="eastAsia" w:ascii="宋体" w:hAnsi="宋体" w:cs="宋体"/>
          <w:sz w:val="21"/>
          <w:szCs w:val="21"/>
          <w:u w:val="single"/>
        </w:rPr>
        <w:t>由承包人自行承担。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承包人提交的竣工资料移交时间：</w:t>
      </w:r>
      <w:r>
        <w:rPr>
          <w:rFonts w:hint="eastAsia" w:ascii="宋体" w:hAnsi="宋体" w:cs="宋体"/>
          <w:sz w:val="21"/>
          <w:szCs w:val="21"/>
          <w:u w:val="single"/>
        </w:rPr>
        <w:t>竣工验收合格后 30 日内。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承包人提交的竣工资料形式要求：</w:t>
      </w:r>
      <w:r>
        <w:rPr>
          <w:rFonts w:hint="eastAsia" w:ascii="宋体" w:hAnsi="宋体" w:cs="宋体"/>
          <w:sz w:val="21"/>
          <w:szCs w:val="21"/>
          <w:u w:val="single"/>
        </w:rPr>
        <w:t>纸质和电子文件。</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（10）承包人应履行的其他义务：</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一、根据国家及地方有关规定，由发包人协助承包人办理有关交通、环卫、环保手续，其费用由承包人承担。</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二、、高（中）考、节假日、市内有关方面重大活动期间或发包人需要的特别时间段内，可能对施工作出某些限制和配合要求，承包人应予无条件服从，并按照有关要求作出必要的配合，这可能造成承包人损失，但发包人将不承担承包人的任何损失。</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u w:val="single"/>
        </w:rPr>
        <w:t>三、施工场地周围地下管线和邻近建筑物、构筑物的保护：施工场地周围地下管线和邻近建筑物、构筑物等，承包人不得破坏，否则按相关规定执行并由承包人承担由此发生的费用</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3.2 项目经理</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3.2.1 项目经理：</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姓　　名：</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建造师执业资格等级：</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建造师注册证书号：</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承包人对项目经理的授权范围如下：</w:t>
      </w:r>
      <w:r>
        <w:rPr>
          <w:rFonts w:hint="eastAsia" w:ascii="宋体" w:hAnsi="宋体" w:cs="宋体"/>
          <w:sz w:val="21"/>
          <w:szCs w:val="21"/>
          <w:u w:val="single"/>
        </w:rPr>
        <w:t>代表承包人行使合同约定的权利和义务，履行合同约定的各项职责。</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承包人未提交劳动合同，以及没有为项目经理缴纳社会保险证明的违约责任：</w:t>
      </w:r>
      <w:r>
        <w:rPr>
          <w:rFonts w:hint="eastAsia" w:ascii="宋体" w:hAnsi="宋体" w:cs="宋体"/>
          <w:sz w:val="21"/>
          <w:szCs w:val="21"/>
          <w:u w:val="single"/>
        </w:rPr>
        <w:t>由承包人承担。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项目经理未经批准，擅自离开施工现场的违约责任：</w:t>
      </w:r>
      <w:r>
        <w:rPr>
          <w:rFonts w:hint="eastAsia" w:ascii="宋体" w:hAnsi="宋体" w:cs="宋体"/>
          <w:sz w:val="21"/>
          <w:szCs w:val="21"/>
          <w:u w:val="single"/>
        </w:rPr>
        <w:t>必须参加工程例会、督查会、推进会及其他会议，否则每人每次处500元罚款。</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3.2.3 承包人擅自更换项目经理的违约责任：</w:t>
      </w:r>
      <w:r>
        <w:rPr>
          <w:rFonts w:hint="eastAsia" w:ascii="宋体" w:hAnsi="宋体" w:cs="宋体"/>
          <w:sz w:val="21"/>
          <w:szCs w:val="21"/>
          <w:u w:val="single"/>
        </w:rPr>
        <w:t>本工程中标的项目经理不得更换，如承包人擅自更换，则发包人有权解除合同。如确有特殊原因需更换项目经理，需经发包人同意，且更换后的项目经理资历条件不得低于原中标项目经理，且符合原招标公告中的要求。</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3.2.4 承包人无正当理由拒绝更换项目经理的违约责任：/。</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3.3 承包人人员</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3.3.1 承包人提交项目管理机构及施工现场管理人员安排报告的期限：接到</w:t>
      </w:r>
      <w:r>
        <w:rPr>
          <w:rFonts w:hint="eastAsia" w:ascii="宋体" w:hAnsi="宋体" w:cs="宋体"/>
          <w:sz w:val="21"/>
          <w:szCs w:val="21"/>
          <w:u w:val="single"/>
        </w:rPr>
        <w:t>开工通知后7天内。</w:t>
      </w:r>
    </w:p>
    <w:p>
      <w:pPr>
        <w:pageBreakBefore w:val="0"/>
        <w:kinsoku/>
        <w:wordWrap w:val="0"/>
        <w:overflowPunct/>
        <w:topLinePunct/>
        <w:autoSpaceDE/>
        <w:autoSpaceDN/>
        <w:bidi w:val="0"/>
        <w:adjustRightInd w:val="0"/>
        <w:textAlignment w:val="auto"/>
        <w:rPr>
          <w:rFonts w:hint="eastAsia" w:ascii="宋体" w:hAnsi="宋体" w:cs="宋体"/>
          <w:sz w:val="21"/>
          <w:szCs w:val="21"/>
          <w:u w:val="single"/>
        </w:rPr>
      </w:pPr>
      <w:r>
        <w:rPr>
          <w:rFonts w:hint="eastAsia" w:ascii="宋体" w:hAnsi="宋体" w:cs="宋体"/>
          <w:sz w:val="21"/>
          <w:szCs w:val="21"/>
        </w:rPr>
        <w:t>3.3.3 承包人无正当理由拒绝撤换主要施工管理人员的违约责任：</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3.3.4 承包人主要施工管理人员离开施工现场的批准要求： / 。</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3.3.5 承包人擅自更换主要施工管理人员的违约责任：</w:t>
      </w:r>
      <w:r>
        <w:rPr>
          <w:rFonts w:hint="eastAsia" w:ascii="宋体" w:hAnsi="宋体" w:cs="宋体"/>
          <w:sz w:val="21"/>
          <w:szCs w:val="21"/>
          <w:u w:val="single"/>
        </w:rPr>
        <w:t>发包人要求投标书中的技术负责人、施工员、安全员、质量员和材料员到位，中途若更换，须经发包人同意。</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承包人主要施工管理人员擅自离开施工现场的违约责任：</w:t>
      </w:r>
      <w:r>
        <w:rPr>
          <w:rFonts w:hint="eastAsia" w:ascii="宋体" w:hAnsi="宋体" w:cs="宋体"/>
          <w:sz w:val="21"/>
          <w:szCs w:val="21"/>
          <w:u w:val="single"/>
        </w:rPr>
        <w:t>同时必须参加工程例会、督查会、推进会及其他会议，否则每人每次处500元罚款。</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3.5 分包：本项目不得自行分包。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3.6 工程照管与成品、半成品保护</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承包人负责照管工程及工程相关的材料、工程设备的起始时间：</w:t>
      </w:r>
      <w:r>
        <w:rPr>
          <w:rFonts w:hint="eastAsia" w:ascii="宋体" w:hAnsi="宋体" w:cs="宋体"/>
          <w:sz w:val="21"/>
          <w:szCs w:val="21"/>
          <w:u w:val="single"/>
        </w:rPr>
        <w:t>自发包人向承包人移交施工现场之日起；已竣工工程未交付发包人之前，承包人应负责已完工程的保护工作，保护期间发生损坏，承包人自费予以修复。</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3.7 履约担保</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承包人是否提供履约担保：</w:t>
      </w:r>
      <w:r>
        <w:rPr>
          <w:rFonts w:hint="eastAsia" w:ascii="宋体" w:hAnsi="宋体" w:cs="宋体"/>
          <w:sz w:val="21"/>
          <w:szCs w:val="21"/>
          <w:u w:val="single"/>
        </w:rPr>
        <w:t xml:space="preserve">  提供 。</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承包人提供履约担保的形式、金额及期限的：</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履约担保的形式：</w:t>
      </w:r>
      <w:r>
        <w:rPr>
          <w:rFonts w:hint="eastAsia" w:ascii="宋体" w:hAnsi="宋体" w:eastAsia="宋体" w:cs="宋体"/>
          <w:b/>
          <w:bCs w:val="0"/>
          <w:color w:val="0000FF"/>
          <w:sz w:val="21"/>
          <w:szCs w:val="21"/>
          <w:u w:val="single"/>
        </w:rPr>
        <w:t>现金或银行保函形式</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履约担保的金额：</w:t>
      </w:r>
      <w:r>
        <w:rPr>
          <w:rFonts w:hint="eastAsia" w:ascii="宋体" w:hAnsi="宋体" w:cs="宋体"/>
          <w:b/>
          <w:bCs/>
          <w:color w:val="0000FF"/>
          <w:sz w:val="21"/>
          <w:szCs w:val="21"/>
          <w:u w:val="single"/>
        </w:rPr>
        <w:t>中标价（扣除暂列金额）的</w:t>
      </w:r>
      <w:r>
        <w:rPr>
          <w:rFonts w:hint="eastAsia" w:ascii="宋体" w:hAnsi="宋体" w:cs="宋体"/>
          <w:b/>
          <w:bCs/>
          <w:color w:val="0000FF"/>
          <w:sz w:val="21"/>
          <w:szCs w:val="21"/>
          <w:u w:val="single"/>
          <w:lang w:val="en-US" w:eastAsia="zh-CN"/>
        </w:rPr>
        <w:t>5</w:t>
      </w:r>
      <w:r>
        <w:rPr>
          <w:rFonts w:hint="eastAsia" w:ascii="宋体" w:hAnsi="宋体" w:cs="宋体"/>
          <w:b/>
          <w:bCs/>
          <w:color w:val="0000FF"/>
          <w:sz w:val="21"/>
          <w:szCs w:val="21"/>
          <w:u w:val="single"/>
        </w:rPr>
        <w:t xml:space="preserve">% </w:t>
      </w:r>
      <w:r>
        <w:rPr>
          <w:rFonts w:hint="eastAsia" w:ascii="宋体" w:hAnsi="宋体" w:cs="宋体"/>
          <w:sz w:val="21"/>
          <w:szCs w:val="21"/>
          <w:u w:val="single"/>
        </w:rPr>
        <w:t>。</w:t>
      </w:r>
    </w:p>
    <w:p>
      <w:pPr>
        <w:pageBreakBefore w:val="0"/>
        <w:kinsoku/>
        <w:wordWrap w:val="0"/>
        <w:overflowPunct/>
        <w:topLinePunct/>
        <w:autoSpaceDE/>
        <w:autoSpaceDN/>
        <w:bidi w:val="0"/>
        <w:textAlignment w:val="auto"/>
        <w:rPr>
          <w:rFonts w:hint="eastAsia" w:ascii="宋体" w:hAnsi="宋体" w:cs="宋体"/>
          <w:sz w:val="21"/>
          <w:szCs w:val="21"/>
          <w:u w:val="single"/>
        </w:rPr>
      </w:pP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30" w:name="_Toc455136290"/>
      <w:bookmarkStart w:id="131" w:name="_Toc491507699"/>
      <w:r>
        <w:rPr>
          <w:rFonts w:cs="宋体"/>
          <w:color w:val="auto"/>
          <w:sz w:val="21"/>
          <w:szCs w:val="21"/>
        </w:rPr>
        <w:t xml:space="preserve">4. </w:t>
      </w:r>
      <w:r>
        <w:rPr>
          <w:rFonts w:hint="eastAsia" w:cs="宋体"/>
          <w:color w:val="auto"/>
          <w:sz w:val="21"/>
          <w:szCs w:val="21"/>
        </w:rPr>
        <w:t>监理人</w:t>
      </w:r>
      <w:bookmarkEnd w:id="130"/>
      <w:bookmarkEnd w:id="131"/>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4.1 监理人的一般规定</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关于监理人的监理内容及权限：</w:t>
      </w:r>
      <w:r>
        <w:rPr>
          <w:rFonts w:hint="eastAsia" w:ascii="宋体" w:hAnsi="宋体" w:cs="宋体"/>
          <w:sz w:val="21"/>
          <w:szCs w:val="21"/>
          <w:u w:val="single"/>
        </w:rPr>
        <w:t>按监理合同执行。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关于监理人在施工现场的办公场所、生活场所的提供和费用承担的约定：</w:t>
      </w:r>
      <w:r>
        <w:rPr>
          <w:rFonts w:hint="eastAsia" w:ascii="宋体" w:hAnsi="宋体" w:cs="宋体"/>
          <w:sz w:val="21"/>
          <w:szCs w:val="21"/>
          <w:u w:val="single"/>
        </w:rPr>
        <w:t>发包人提供监理人的办公场所，监理人的办公设备及生活用房由监理人自行解决。</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4.2 监理人员</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总监理工程师：</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姓　　名：    ；</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职　　务：     ；</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监理工程师执业资格证书号：      ；</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联系电话：              ；</w:t>
      </w:r>
    </w:p>
    <w:p>
      <w:pPr>
        <w:pageBreakBefore w:val="0"/>
        <w:kinsoku/>
        <w:wordWrap w:val="0"/>
        <w:overflowPunct/>
        <w:topLinePunct/>
        <w:autoSpaceDE/>
        <w:autoSpaceDN/>
        <w:bidi w:val="0"/>
        <w:textAlignment w:val="auto"/>
        <w:rPr>
          <w:rFonts w:hint="eastAsia" w:ascii="宋体"/>
          <w:sz w:val="21"/>
          <w:szCs w:val="21"/>
        </w:rPr>
      </w:pPr>
      <w:r>
        <w:rPr>
          <w:rFonts w:hint="eastAsia" w:ascii="宋体" w:hAnsi="宋体" w:cs="宋体"/>
          <w:sz w:val="21"/>
          <w:szCs w:val="21"/>
        </w:rPr>
        <w:t>通信地址：</w:t>
      </w:r>
      <w:r>
        <w:rPr>
          <w:rFonts w:hint="eastAsia" w:ascii="宋体" w:hAnsi="宋体" w:cs="宋体"/>
          <w:sz w:val="21"/>
          <w:szCs w:val="21"/>
          <w:u w:val="single"/>
        </w:rPr>
        <w:t xml:space="preserve">                    </w:t>
      </w:r>
    </w:p>
    <w:p>
      <w:pPr>
        <w:pageBreakBefore w:val="0"/>
        <w:kinsoku/>
        <w:wordWrap w:val="0"/>
        <w:overflowPunct/>
        <w:topLinePunct/>
        <w:autoSpaceDE/>
        <w:autoSpaceDN/>
        <w:bidi w:val="0"/>
        <w:textAlignment w:val="auto"/>
        <w:rPr>
          <w:rFonts w:hint="eastAsia" w:ascii="宋体"/>
          <w:sz w:val="21"/>
          <w:szCs w:val="21"/>
        </w:rPr>
      </w:pPr>
      <w:r>
        <w:rPr>
          <w:rFonts w:hint="eastAsia" w:ascii="宋体" w:hAnsi="宋体" w:cs="宋体"/>
          <w:sz w:val="21"/>
          <w:szCs w:val="21"/>
        </w:rPr>
        <w:t>关于监理人的其他约定：</w:t>
      </w:r>
      <w:r>
        <w:rPr>
          <w:rFonts w:hint="eastAsia" w:ascii="宋体" w:hAnsi="宋体" w:cs="宋体"/>
          <w:sz w:val="21"/>
          <w:szCs w:val="21"/>
          <w:u w:val="single"/>
        </w:rPr>
        <w:t>按监理合同执行。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4.4 商定或确定</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在发包人和承包人不能通过协商达成一致意见时，发包人授权监理人对以下事项进行确定： </w:t>
      </w:r>
      <w:r>
        <w:rPr>
          <w:rFonts w:hint="eastAsia" w:ascii="宋体" w:hAnsi="宋体" w:cs="宋体"/>
          <w:sz w:val="21"/>
          <w:szCs w:val="21"/>
          <w:u w:val="single"/>
        </w:rPr>
        <w:t>另行协商；</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32" w:name="_Toc491507700"/>
      <w:bookmarkStart w:id="133" w:name="_Toc455136291"/>
      <w:r>
        <w:rPr>
          <w:rFonts w:cs="宋体"/>
          <w:color w:val="auto"/>
          <w:sz w:val="21"/>
          <w:szCs w:val="21"/>
        </w:rPr>
        <w:t xml:space="preserve">5. </w:t>
      </w:r>
      <w:r>
        <w:rPr>
          <w:rFonts w:hint="eastAsia" w:cs="宋体"/>
          <w:color w:val="auto"/>
          <w:sz w:val="21"/>
          <w:szCs w:val="21"/>
        </w:rPr>
        <w:t>工程质量</w:t>
      </w:r>
      <w:bookmarkEnd w:id="132"/>
      <w:bookmarkEnd w:id="133"/>
    </w:p>
    <w:p>
      <w:pPr>
        <w:pageBreakBefore w:val="0"/>
        <w:kinsoku/>
        <w:wordWrap w:val="0"/>
        <w:overflowPunct/>
        <w:topLinePunct/>
        <w:autoSpaceDE/>
        <w:autoSpaceDN/>
        <w:bidi w:val="0"/>
        <w:textAlignment w:val="auto"/>
        <w:rPr>
          <w:rFonts w:ascii="宋体" w:hAnsi="宋体" w:cs="宋体"/>
          <w:sz w:val="21"/>
          <w:szCs w:val="21"/>
        </w:rPr>
      </w:pPr>
      <w:r>
        <w:rPr>
          <w:rFonts w:hint="eastAsia" w:ascii="宋体" w:hAnsi="宋体" w:cs="宋体"/>
          <w:sz w:val="21"/>
          <w:szCs w:val="21"/>
        </w:rPr>
        <w:t>5.1 质量要求</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5.1.1 特殊质量标准和要求：</w:t>
      </w:r>
      <w:r>
        <w:rPr>
          <w:rFonts w:hint="eastAsia" w:ascii="宋体" w:hAnsi="宋体" w:cs="宋体"/>
          <w:sz w:val="21"/>
          <w:szCs w:val="21"/>
          <w:u w:val="single"/>
        </w:rPr>
        <w:t>本工程质量要求：合格。</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关于工程奖项的约定：</w:t>
      </w:r>
      <w:r>
        <w:rPr>
          <w:rFonts w:hint="eastAsia" w:ascii="宋体" w:hAnsi="宋体" w:cs="宋体"/>
          <w:sz w:val="21"/>
          <w:szCs w:val="21"/>
          <w:u w:val="single"/>
        </w:rPr>
        <w:t>/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5.3 隐蔽工程检查</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5.3.2 承包人提前通知监理人隐蔽工程检查的期限的约定：</w:t>
      </w:r>
      <w:r>
        <w:rPr>
          <w:rFonts w:hint="eastAsia" w:ascii="宋体" w:hAnsi="宋体" w:cs="宋体"/>
          <w:sz w:val="21"/>
          <w:szCs w:val="21"/>
          <w:u w:val="single"/>
        </w:rPr>
        <w:t>书面申报材料后48小时内</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监理人不能按时进行检查时，应提前</w:t>
      </w:r>
      <w:r>
        <w:rPr>
          <w:rFonts w:hint="eastAsia" w:ascii="宋体" w:hAnsi="宋体" w:cs="宋体"/>
          <w:sz w:val="21"/>
          <w:szCs w:val="21"/>
          <w:u w:val="single"/>
        </w:rPr>
        <w:t xml:space="preserve"> 24 </w:t>
      </w:r>
      <w:r>
        <w:rPr>
          <w:rFonts w:hint="eastAsia" w:ascii="宋体" w:hAnsi="宋体" w:cs="宋体"/>
          <w:sz w:val="21"/>
          <w:szCs w:val="21"/>
        </w:rPr>
        <w:t>小时提交书面延期要求。</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关于延期最长不得超过：</w:t>
      </w:r>
      <w:r>
        <w:rPr>
          <w:rFonts w:hint="eastAsia" w:ascii="宋体" w:hAnsi="宋体" w:cs="宋体"/>
          <w:sz w:val="21"/>
          <w:szCs w:val="21"/>
          <w:u w:val="single"/>
        </w:rPr>
        <w:t xml:space="preserve"> 48 </w:t>
      </w:r>
      <w:r>
        <w:rPr>
          <w:rFonts w:hint="eastAsia" w:ascii="宋体" w:hAnsi="宋体" w:cs="宋体"/>
          <w:sz w:val="21"/>
          <w:szCs w:val="21"/>
        </w:rPr>
        <w:t>小时。</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34" w:name="_Toc491507701"/>
      <w:bookmarkStart w:id="135" w:name="_Toc455136292"/>
      <w:r>
        <w:rPr>
          <w:rFonts w:cs="宋体"/>
          <w:color w:val="auto"/>
          <w:sz w:val="21"/>
          <w:szCs w:val="21"/>
        </w:rPr>
        <w:t xml:space="preserve">6. </w:t>
      </w:r>
      <w:r>
        <w:rPr>
          <w:rFonts w:hint="eastAsia" w:cs="宋体"/>
          <w:color w:val="auto"/>
          <w:sz w:val="21"/>
          <w:szCs w:val="21"/>
        </w:rPr>
        <w:t>安全文明施工与环境保护</w:t>
      </w:r>
      <w:bookmarkEnd w:id="134"/>
      <w:bookmarkEnd w:id="135"/>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6.1 安全文明施工</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6.1.1 项目安全生产标准化达标目标及相应事项的约定：</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sz w:val="21"/>
          <w:szCs w:val="21"/>
          <w:u w:val="single"/>
        </w:rPr>
        <w:t>（2）承包人须做好文明施工、安全生产，在施工过程中应完善文明施工措施，在施工过程中造成的安全事故由承包人承担。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6.1.4 关于治安保卫的特别约定：</w:t>
      </w:r>
      <w:r>
        <w:rPr>
          <w:rFonts w:hint="eastAsia" w:ascii="宋体" w:hAnsi="宋体"/>
          <w:sz w:val="21"/>
          <w:szCs w:val="21"/>
          <w:u w:val="single"/>
        </w:rPr>
        <w:t>承包人应采取必要的治安保卫措施，并承担因承包人因该项工作不力而造成的相应损失。</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关于编制施工场地治安管理计划的约定：</w:t>
      </w:r>
      <w:r>
        <w:rPr>
          <w:rFonts w:hint="eastAsia" w:ascii="宋体" w:hAnsi="宋体"/>
          <w:sz w:val="21"/>
          <w:szCs w:val="21"/>
          <w:u w:val="single"/>
        </w:rPr>
        <w:t>承包人应在开工后7天内编制施工场地治安管理计划。</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6.1.5 文明施工</w:t>
      </w:r>
    </w:p>
    <w:p>
      <w:pPr>
        <w:pageBreakBefore w:val="0"/>
        <w:kinsoku/>
        <w:wordWrap w:val="0"/>
        <w:overflowPunct/>
        <w:topLinePunct/>
        <w:autoSpaceDE/>
        <w:autoSpaceDN/>
        <w:bidi w:val="0"/>
        <w:ind w:firstLine="420" w:firstLineChars="200"/>
        <w:textAlignment w:val="auto"/>
        <w:rPr>
          <w:rFonts w:hint="eastAsia" w:ascii="宋体" w:hAnsi="宋体"/>
          <w:bCs/>
          <w:sz w:val="21"/>
          <w:szCs w:val="21"/>
          <w:u w:val="single"/>
        </w:rPr>
      </w:pPr>
      <w:r>
        <w:rPr>
          <w:rFonts w:hint="eastAsia" w:ascii="宋体" w:hAnsi="宋体" w:cs="宋体"/>
          <w:sz w:val="21"/>
          <w:szCs w:val="21"/>
        </w:rPr>
        <w:t>合同当事人对文明施工的要求：</w:t>
      </w:r>
      <w:r>
        <w:rPr>
          <w:rFonts w:hint="eastAsia" w:ascii="宋体" w:hAnsi="宋体"/>
          <w:bCs/>
          <w:sz w:val="21"/>
          <w:szCs w:val="21"/>
          <w:u w:val="single"/>
        </w:rPr>
        <w:t>在施工过程中，应层层落实安全责任。坚持“安全第一，预防为主，综合治理”的方针，签订《安全生产责任书》；施工单位应结合项目特点，按照相关法律法规的要求并结合上级主管部门的有关要求，制定安全生产责任制，分层级签订《安全生产责任书》，将施工安全职责具体落实到部门、班组、个人，将施工安全的职责、权限进一步规范化、明晰化，营造上下同欲、齐抓共管的氛围，确保施工安全和人身安全。</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36" w:name="_Toc491507702"/>
      <w:bookmarkStart w:id="137" w:name="_Toc455136293"/>
      <w:r>
        <w:rPr>
          <w:rFonts w:cs="宋体"/>
          <w:color w:val="auto"/>
          <w:sz w:val="21"/>
          <w:szCs w:val="21"/>
        </w:rPr>
        <w:t xml:space="preserve">7. </w:t>
      </w:r>
      <w:r>
        <w:rPr>
          <w:rFonts w:hint="eastAsia" w:cs="宋体"/>
          <w:color w:val="auto"/>
          <w:sz w:val="21"/>
          <w:szCs w:val="21"/>
        </w:rPr>
        <w:t>工期和进度</w:t>
      </w:r>
      <w:bookmarkEnd w:id="136"/>
      <w:bookmarkEnd w:id="137"/>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7.1 施工组织设计</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7.1.2 施工组织设计的提交和修改</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承包人提交详细施工组织设计的期限的约定：</w:t>
      </w:r>
      <w:r>
        <w:rPr>
          <w:rFonts w:hint="eastAsia" w:ascii="宋体" w:hAnsi="宋体"/>
          <w:sz w:val="21"/>
          <w:szCs w:val="21"/>
          <w:u w:val="single"/>
        </w:rPr>
        <w:t>开工前提供施工进度总计划和有针对性的施工组织设计。</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发包人和监理人在收到详细的施工组织设计后确认或提出修改意见的期限：</w:t>
      </w:r>
      <w:r>
        <w:rPr>
          <w:rFonts w:hint="eastAsia" w:ascii="宋体" w:hAnsi="宋体"/>
          <w:sz w:val="21"/>
          <w:szCs w:val="21"/>
          <w:u w:val="single"/>
        </w:rPr>
        <w:t>自监理人收到承包人报送的施工组织设计后7天内。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7.2 施工进度计划</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7.2.2 施工进度计划的修订</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发包人和监理人在收到修订的施工进度计划后确认或提出修改意见的期限：</w:t>
      </w:r>
      <w:r>
        <w:rPr>
          <w:rFonts w:hint="eastAsia" w:ascii="宋体" w:hAnsi="宋体"/>
          <w:sz w:val="21"/>
          <w:szCs w:val="21"/>
          <w:u w:val="single"/>
        </w:rPr>
        <w:t>自监理人收到承包人报送的相关进度计划后7天内。</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7.2.3进度管理</w:t>
      </w:r>
    </w:p>
    <w:p>
      <w:pPr>
        <w:pageBreakBefore w:val="0"/>
        <w:kinsoku/>
        <w:wordWrap w:val="0"/>
        <w:overflowPunct/>
        <w:topLinePunct/>
        <w:autoSpaceDE/>
        <w:autoSpaceDN/>
        <w:bidi w:val="0"/>
        <w:ind w:firstLine="420" w:firstLineChars="200"/>
        <w:textAlignment w:val="auto"/>
        <w:rPr>
          <w:rFonts w:hint="eastAsia" w:ascii="宋体" w:hAnsi="宋体"/>
          <w:sz w:val="21"/>
          <w:szCs w:val="21"/>
          <w:u w:val="single"/>
        </w:rPr>
      </w:pPr>
      <w:r>
        <w:rPr>
          <w:rFonts w:hint="eastAsia" w:ascii="宋体" w:hAnsi="宋体"/>
          <w:sz w:val="21"/>
          <w:szCs w:val="21"/>
          <w:u w:val="single"/>
        </w:rPr>
        <w:t>项目各参建单位应根据合同确定的各项目标制定工程实施计划，优化施工组织方案，确保工程建设整体均衡地推进；监理、检测应定期检查、督促阶段计划执行的情况，了解工程建设中存在的问题，及时通报计划执行的情况，并督促施工单位调整和落实；相关单位管理人员应依据每次工程例会的要求，指导、督查工程实施情况并深入施工现场，了解工程形象进度及计划执行中存在的问题，组织编写工程建设分析报告，填写工程施工日志。</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7.3 开工</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7.3.1 开工准备</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关于承包人提交工程开工报审表的期限：</w:t>
      </w:r>
      <w:r>
        <w:rPr>
          <w:rFonts w:hint="eastAsia" w:ascii="宋体" w:hAnsi="宋体"/>
          <w:sz w:val="21"/>
          <w:szCs w:val="21"/>
          <w:u w:val="single"/>
        </w:rPr>
        <w:t>/</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rPr>
        <w:t>关于发包人应完成的其他开工准备工作及期限：</w:t>
      </w:r>
      <w:r>
        <w:rPr>
          <w:rFonts w:hint="eastAsia" w:ascii="宋体" w:hAnsi="宋体"/>
          <w:sz w:val="21"/>
          <w:szCs w:val="21"/>
          <w:u w:val="single"/>
        </w:rPr>
        <w:t>工程项目开工前, 由相关单位组织规划设计、建设、勘察、施工、监理、检测等单位复核交底、科学安排,尽可能避免施工过程中的设计变更和签证，并做好施工图纸会审及会签工作。</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关于承包人应完成的其他开工准备工作及期限：</w:t>
      </w:r>
      <w:r>
        <w:rPr>
          <w:rFonts w:hint="eastAsia" w:ascii="宋体" w:hAnsi="宋体"/>
          <w:sz w:val="21"/>
          <w:szCs w:val="21"/>
          <w:u w:val="single"/>
        </w:rPr>
        <w:t>/</w:t>
      </w:r>
      <w:r>
        <w:rPr>
          <w:rFonts w:hint="eastAsia" w:ascii="宋体" w:hAnsi="宋体" w:cs="宋体"/>
          <w:sz w:val="21"/>
          <w:szCs w:val="21"/>
          <w:u w:val="single"/>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7.3.2 开工通知</w:t>
      </w:r>
    </w:p>
    <w:p>
      <w:pPr>
        <w:pageBreakBefore w:val="0"/>
        <w:kinsoku/>
        <w:wordWrap w:val="0"/>
        <w:overflowPunct/>
        <w:topLinePunct/>
        <w:autoSpaceDE/>
        <w:autoSpaceDN/>
        <w:bidi w:val="0"/>
        <w:ind w:firstLine="420" w:firstLineChars="200"/>
        <w:textAlignment w:val="auto"/>
        <w:rPr>
          <w:rFonts w:hint="eastAsia" w:ascii="宋体" w:hAnsi="宋体"/>
          <w:sz w:val="21"/>
          <w:szCs w:val="21"/>
        </w:rPr>
      </w:pPr>
      <w:r>
        <w:rPr>
          <w:rFonts w:hint="eastAsia" w:ascii="宋体" w:hAnsi="宋体" w:cs="宋体"/>
          <w:sz w:val="21"/>
          <w:szCs w:val="21"/>
        </w:rPr>
        <w:t>建设单位、施工单位应做好开工前的准备工作，不论工程规模大小, 一律由建设单位向施工单位下达《工程开工通知书》后,方可进场施工，《工程开工通知书》需及时报相关单位备案登记。</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7.4 测量放线</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7.4.1 发包人通过监理人向承包人提供测量基准点、基准线和水准点及其书面资料的期限：</w:t>
      </w:r>
      <w:r>
        <w:rPr>
          <w:rFonts w:hint="eastAsia" w:ascii="宋体" w:hAnsi="宋体"/>
          <w:sz w:val="21"/>
          <w:szCs w:val="21"/>
          <w:u w:val="single"/>
        </w:rPr>
        <w:t>根据工程实际进度。</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7.5 工期延误</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7.5.1 因发包人原因导致工期延误</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（7）因发包人原因导致工期延误的其他情形：</w:t>
      </w:r>
      <w:r>
        <w:rPr>
          <w:rFonts w:hint="eastAsia" w:ascii="宋体" w:hAnsi="宋体"/>
          <w:sz w:val="21"/>
          <w:szCs w:val="21"/>
          <w:u w:val="single"/>
        </w:rPr>
        <w:t>由于发包人原因和国家行政相关要求的停工（非承包方的责任），经发包人同意，工期可顺延。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7.5.2 因承包人原因导致工期延误</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因承包人原因造成工期延误，逾期竣工违约金的计算方法为：</w:t>
      </w:r>
      <w:r>
        <w:rPr>
          <w:rFonts w:hint="eastAsia" w:ascii="宋体" w:hAnsi="宋体" w:cs="宋体"/>
          <w:sz w:val="21"/>
          <w:szCs w:val="21"/>
          <w:u w:val="single"/>
        </w:rPr>
        <w:t>每天按结算价款的万分之五计</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因承包人原因造成工期延误，逾期竣工违约金的上限：</w:t>
      </w:r>
      <w:r>
        <w:rPr>
          <w:rFonts w:hint="eastAsia" w:ascii="宋体" w:hAnsi="宋体" w:cs="宋体"/>
          <w:sz w:val="21"/>
          <w:szCs w:val="21"/>
          <w:u w:val="single"/>
        </w:rPr>
        <w:t>不超过工程合同总价的5％。</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38" w:name="_Toc491507703"/>
      <w:bookmarkStart w:id="139" w:name="_Toc455136294"/>
      <w:r>
        <w:rPr>
          <w:rFonts w:cs="宋体"/>
          <w:color w:val="auto"/>
          <w:sz w:val="21"/>
          <w:szCs w:val="21"/>
        </w:rPr>
        <w:t xml:space="preserve">8. </w:t>
      </w:r>
      <w:r>
        <w:rPr>
          <w:rFonts w:hint="eastAsia" w:cs="宋体"/>
          <w:color w:val="auto"/>
          <w:sz w:val="21"/>
          <w:szCs w:val="21"/>
        </w:rPr>
        <w:t>材料与设备</w:t>
      </w:r>
      <w:bookmarkEnd w:id="138"/>
      <w:bookmarkEnd w:id="139"/>
    </w:p>
    <w:p>
      <w:pPr>
        <w:pageBreakBefore w:val="0"/>
        <w:kinsoku/>
        <w:wordWrap w:val="0"/>
        <w:overflowPunct/>
        <w:topLinePunct/>
        <w:autoSpaceDE/>
        <w:autoSpaceDN/>
        <w:bidi w:val="0"/>
        <w:textAlignment w:val="auto"/>
        <w:rPr>
          <w:rFonts w:ascii="宋体" w:hAnsi="宋体" w:cs="宋体"/>
          <w:sz w:val="21"/>
          <w:szCs w:val="21"/>
        </w:rPr>
      </w:pPr>
      <w:r>
        <w:rPr>
          <w:rFonts w:hint="eastAsia" w:ascii="宋体" w:hAnsi="宋体" w:cs="宋体"/>
          <w:sz w:val="21"/>
          <w:szCs w:val="21"/>
        </w:rPr>
        <w:t>8.3 材料与工程设备的接受与拒收</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8.3.2承包人采购的材料和工程设备：</w:t>
      </w:r>
      <w:r>
        <w:rPr>
          <w:rFonts w:hint="eastAsia" w:ascii="宋体" w:hAnsi="宋体" w:cs="宋体"/>
          <w:sz w:val="21"/>
          <w:szCs w:val="21"/>
          <w:u w:val="single"/>
        </w:rPr>
        <w:t>按通用条款执行。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8.4 材料与工程设备的保管与使用</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8.4.1 发包人供应的材料设备的保管与使用：</w:t>
      </w:r>
      <w:r>
        <w:rPr>
          <w:rFonts w:hint="eastAsia" w:ascii="宋体" w:hAnsi="宋体" w:cs="宋体"/>
          <w:sz w:val="21"/>
          <w:szCs w:val="21"/>
          <w:u w:val="single"/>
        </w:rPr>
        <w:t>材料设备在现场保管与使用费用由承包方承担。</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8.4.2</w:t>
      </w:r>
      <w:r>
        <w:rPr>
          <w:rFonts w:hint="eastAsia" w:ascii="宋体" w:hAnsi="宋体" w:cs="宋体"/>
          <w:sz w:val="21"/>
          <w:szCs w:val="21"/>
          <w:u w:val="single"/>
        </w:rPr>
        <w:t xml:space="preserve"> 承包人提供的材料和设备：</w:t>
      </w:r>
      <w:bookmarkStart w:id="140" w:name="OLE_LINK7"/>
      <w:r>
        <w:rPr>
          <w:rFonts w:hint="eastAsia" w:ascii="宋体" w:hAnsi="宋体" w:cs="宋体"/>
          <w:sz w:val="21"/>
          <w:szCs w:val="21"/>
          <w:u w:val="single"/>
        </w:rPr>
        <w:t>按通用条款执行。</w:t>
      </w:r>
      <w:bookmarkEnd w:id="140"/>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8.6 样品</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8.6.1 样品的报送与封存</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需要承包人报送样品的材料或工程设备，样品的种类、名称、规格、数量要求：</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8.8 施工设备和临时设施</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8.8.1 关于修建临时设施费用承担的约定：</w:t>
      </w:r>
      <w:r>
        <w:rPr>
          <w:rFonts w:hint="eastAsia" w:ascii="宋体" w:hAnsi="宋体" w:cs="宋体"/>
          <w:sz w:val="21"/>
          <w:szCs w:val="21"/>
          <w:u w:val="single"/>
        </w:rPr>
        <w:t>按通用条款执行。</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41" w:name="_Toc491507704"/>
      <w:bookmarkStart w:id="142" w:name="_Toc455136295"/>
      <w:r>
        <w:rPr>
          <w:rFonts w:cs="宋体"/>
          <w:color w:val="auto"/>
          <w:sz w:val="21"/>
          <w:szCs w:val="21"/>
        </w:rPr>
        <w:t xml:space="preserve">9. </w:t>
      </w:r>
      <w:r>
        <w:rPr>
          <w:rFonts w:hint="eastAsia" w:cs="宋体"/>
          <w:color w:val="auto"/>
          <w:sz w:val="21"/>
          <w:szCs w:val="21"/>
        </w:rPr>
        <w:t>试验与检验</w:t>
      </w:r>
      <w:bookmarkEnd w:id="141"/>
      <w:bookmarkEnd w:id="142"/>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9.1 试验设备与试验人员</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9.1.2 试验设备：/。</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9.4 现场工艺试验</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现场工艺试验的有关约定：</w:t>
      </w:r>
      <w:r>
        <w:rPr>
          <w:rFonts w:hint="eastAsia" w:ascii="宋体" w:hAnsi="宋体" w:cs="宋体"/>
          <w:sz w:val="21"/>
          <w:szCs w:val="21"/>
          <w:u w:val="single"/>
        </w:rPr>
        <w:t>按通用条款执行。</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43" w:name="_Toc455136296"/>
      <w:bookmarkStart w:id="144" w:name="_Toc491507705"/>
      <w:r>
        <w:rPr>
          <w:rFonts w:cs="宋体"/>
          <w:color w:val="auto"/>
          <w:sz w:val="21"/>
          <w:szCs w:val="21"/>
        </w:rPr>
        <w:t xml:space="preserve">10. </w:t>
      </w:r>
      <w:r>
        <w:rPr>
          <w:rFonts w:hint="eastAsia" w:cs="宋体"/>
          <w:color w:val="auto"/>
          <w:sz w:val="21"/>
          <w:szCs w:val="21"/>
        </w:rPr>
        <w:t>变更</w:t>
      </w:r>
      <w:bookmarkEnd w:id="143"/>
      <w:bookmarkEnd w:id="144"/>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10.1 变更的范围</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关于变更的范围的约定：</w:t>
      </w:r>
      <w:r>
        <w:rPr>
          <w:rFonts w:hint="eastAsia" w:ascii="宋体" w:hAnsi="宋体" w:cs="宋体"/>
          <w:sz w:val="21"/>
          <w:szCs w:val="21"/>
          <w:u w:val="single"/>
        </w:rPr>
        <w:t>按发包人要求执行。</w:t>
      </w:r>
    </w:p>
    <w:p>
      <w:pPr>
        <w:pageBreakBefore w:val="0"/>
        <w:numPr>
          <w:ilvl w:val="0"/>
          <w:numId w:val="5"/>
        </w:numPr>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工程建设过程中，严格按图纸、清单施工，尽可能减少工程变更以及隐蔽工程。凡涉及主体结构和重大使用功能调整的，必须由原设计单位出具设计变更；工程变更由施工单位出具变更联系单，经相关单位初审后，由规划设计、监理、监察、建设单位共同签认后，报工程建设指挥部审批。未按规定审批，任何个人、单位不得随意进行设计变更及签证。凡变更后的工程费用超一万元必须交由工程建设指挥部决定方可实施。</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10.4 变更估价</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10.4.1 变更估价原则</w:t>
      </w:r>
    </w:p>
    <w:p>
      <w:pPr>
        <w:pageBreakBefore w:val="0"/>
        <w:kinsoku/>
        <w:wordWrap w:val="0"/>
        <w:overflowPunct/>
        <w:topLinePunct/>
        <w:autoSpaceDE/>
        <w:autoSpaceDN/>
        <w:bidi w:val="0"/>
        <w:textAlignment w:val="auto"/>
        <w:rPr>
          <w:rFonts w:hint="eastAsia" w:ascii="宋体" w:hAnsi="宋体" w:cs="宋体"/>
          <w:szCs w:val="21"/>
        </w:rPr>
      </w:pPr>
      <w:r>
        <w:rPr>
          <w:rFonts w:hint="eastAsia" w:ascii="宋体" w:hAnsi="宋体" w:cs="宋体"/>
          <w:szCs w:val="21"/>
        </w:rPr>
        <w:t>关于变更估价的约定：</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sz w:val="21"/>
          <w:szCs w:val="21"/>
          <w:u w:val="single"/>
        </w:rPr>
        <w:t xml:space="preserve">  变更项目清单计价综合单价的结算方法：投标报价中已有适用于变更工程的价格，按投标的综合单价结算；投标报价中无适用或类似变更工程的价格时按本专用条款12.1中的</w:t>
      </w:r>
      <w:r>
        <w:rPr>
          <w:rFonts w:hint="eastAsia" w:ascii="宋体" w:hAnsi="宋体" w:cs="宋体"/>
          <w:sz w:val="21"/>
          <w:szCs w:val="21"/>
        </w:rPr>
        <w:t>风险范围以外合同价格的调整方法中的第2款c条执行。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10.5 承包人的合理化建议</w:t>
      </w:r>
      <w:r>
        <w:rPr>
          <w:rFonts w:hint="eastAsia" w:ascii="宋体" w:hAnsi="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10.7 暂估价</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暂估价材料和工程设备的明细详见附件11：《暂估价一览表》。</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10.7.1 依法必须招标的暂估价项目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对于依法必须招标的暂估价项目的确认和批准采取第</w:t>
      </w:r>
      <w:r>
        <w:rPr>
          <w:rFonts w:hint="eastAsia" w:ascii="宋体" w:hAnsi="宋体" w:cs="宋体"/>
          <w:sz w:val="21"/>
          <w:szCs w:val="21"/>
          <w:u w:val="single"/>
        </w:rPr>
        <w:t xml:space="preserve"> / </w:t>
      </w:r>
      <w:r>
        <w:rPr>
          <w:rFonts w:hint="eastAsia" w:ascii="宋体" w:hAnsi="宋体" w:cs="宋体"/>
          <w:sz w:val="21"/>
          <w:szCs w:val="21"/>
        </w:rPr>
        <w:t>种方式确定。</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10.7.2 不属于依法必须招标的暂估价项目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对于不属于依法必须招标的暂估价项目的确认和批准采取第</w:t>
      </w:r>
      <w:r>
        <w:rPr>
          <w:rFonts w:hint="eastAsia" w:ascii="宋体" w:hAnsi="宋体" w:cs="宋体"/>
          <w:sz w:val="21"/>
          <w:szCs w:val="21"/>
          <w:u w:val="single"/>
        </w:rPr>
        <w:t xml:space="preserve"> / </w:t>
      </w:r>
      <w:r>
        <w:rPr>
          <w:rFonts w:hint="eastAsia" w:ascii="宋体" w:hAnsi="宋体" w:cs="宋体"/>
          <w:sz w:val="21"/>
          <w:szCs w:val="21"/>
        </w:rPr>
        <w:t>种方式确定。</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第3种方式：承包人直接实施的暂估价项目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承包人直接实施的暂估价项目的约定：</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10.8 暂列金额</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合同当事人关于暂列金额使用的约定：</w:t>
      </w:r>
      <w:r>
        <w:rPr>
          <w:rFonts w:hint="eastAsia" w:ascii="宋体" w:hAnsi="宋体" w:cs="宋体"/>
          <w:sz w:val="21"/>
          <w:szCs w:val="21"/>
          <w:u w:val="single"/>
        </w:rPr>
        <w:t>暂列金额只能按照发包人的指示使用，并对合同价格进行相应调整。</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45" w:name="_Toc491507706"/>
      <w:bookmarkStart w:id="146" w:name="_Toc455136297"/>
      <w:r>
        <w:rPr>
          <w:rFonts w:cs="宋体"/>
          <w:color w:val="auto"/>
          <w:sz w:val="21"/>
          <w:szCs w:val="21"/>
        </w:rPr>
        <w:t xml:space="preserve">11. </w:t>
      </w:r>
      <w:r>
        <w:rPr>
          <w:rFonts w:hint="eastAsia" w:cs="宋体"/>
          <w:color w:val="auto"/>
          <w:sz w:val="21"/>
          <w:szCs w:val="21"/>
        </w:rPr>
        <w:t>价格调整</w:t>
      </w:r>
      <w:bookmarkEnd w:id="145"/>
      <w:bookmarkEnd w:id="146"/>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11.1 市场价格波动引起的调整</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Cs w:val="21"/>
        </w:rPr>
        <w:t>市场价格波动是否调整合同价格的约定：</w:t>
      </w:r>
      <w:r>
        <w:rPr>
          <w:rFonts w:hint="eastAsia" w:ascii="宋体" w:hAnsi="宋体" w:cs="宋体"/>
          <w:sz w:val="21"/>
          <w:szCs w:val="21"/>
          <w:u w:val="single"/>
        </w:rPr>
        <w:t>合同约定的市场风险范围内综合单价不调整。</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因市场价格波动调整合同价格，采用以下第</w:t>
      </w:r>
      <w:r>
        <w:rPr>
          <w:rFonts w:hint="eastAsia" w:ascii="宋体" w:hAnsi="宋体" w:cs="宋体"/>
          <w:sz w:val="21"/>
          <w:szCs w:val="21"/>
          <w:u w:val="single"/>
        </w:rPr>
        <w:t xml:space="preserve"> / </w:t>
      </w:r>
      <w:r>
        <w:rPr>
          <w:rFonts w:hint="eastAsia" w:ascii="宋体" w:hAnsi="宋体" w:cs="宋体"/>
          <w:sz w:val="21"/>
          <w:szCs w:val="21"/>
        </w:rPr>
        <w:t>种方式对合同价格进行调整：</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第1种方式：采用价格指数进行价格调整。</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第2种方式：采用造价信息进行价格调整。</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（2）关于基准价格的约定：</w:t>
      </w:r>
      <w:r>
        <w:rPr>
          <w:rFonts w:hint="eastAsia" w:ascii="宋体" w:hAnsi="宋体" w:cs="宋体"/>
          <w:sz w:val="21"/>
          <w:szCs w:val="21"/>
          <w:u w:val="single"/>
        </w:rPr>
        <w:t xml:space="preserve"> / </w:t>
      </w:r>
      <w:r>
        <w:rPr>
          <w:rFonts w:hint="eastAsia" w:ascii="宋体" w:hAnsi="宋体" w:cs="宋体"/>
          <w:sz w:val="21"/>
          <w:szCs w:val="21"/>
        </w:rPr>
        <w:t>；</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47" w:name="_Toc491507707"/>
      <w:bookmarkStart w:id="148" w:name="_Toc455136298"/>
      <w:r>
        <w:rPr>
          <w:rFonts w:cs="宋体"/>
          <w:color w:val="auto"/>
          <w:sz w:val="21"/>
          <w:szCs w:val="21"/>
        </w:rPr>
        <w:t xml:space="preserve">12. </w:t>
      </w:r>
      <w:r>
        <w:rPr>
          <w:rFonts w:hint="eastAsia" w:cs="宋体"/>
          <w:color w:val="auto"/>
          <w:sz w:val="21"/>
          <w:szCs w:val="21"/>
        </w:rPr>
        <w:t>合同价格、计量与支付</w:t>
      </w:r>
      <w:bookmarkEnd w:id="147"/>
      <w:bookmarkEnd w:id="148"/>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12.1 合同价格形式</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1、单价合同。</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综合单价包含的风险范围：</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1.人工费用的政策性调整；</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2.工程量变化产生的前期费用；</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3.工程材料（设备）价格的市场波动。</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风险费用的计算方法：</w:t>
      </w:r>
      <w:r>
        <w:rPr>
          <w:rFonts w:hint="eastAsia" w:ascii="宋体" w:hAnsi="宋体" w:cs="宋体"/>
          <w:sz w:val="21"/>
          <w:szCs w:val="21"/>
          <w:u w:val="single"/>
        </w:rPr>
        <w:t xml:space="preserve"> </w:t>
      </w:r>
      <w:r>
        <w:rPr>
          <w:rFonts w:hint="eastAsia" w:ascii="宋体" w:hAnsi="宋体"/>
          <w:sz w:val="21"/>
          <w:szCs w:val="21"/>
          <w:u w:val="single"/>
        </w:rPr>
        <w:t>综合考虑在投标综合单价内，在合同约定风险范围内不作调整。</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风险范围以外的内容：</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1.设计变更引起的工程量增减；</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2.发包人要求的承包范围以外的附加工程量；</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3.暂估价材料、暂估价项目；</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4.发包人确认的其它项目；</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5.发包人提出对乙供部分材料进行更改，引起的价差。</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风险范围以外合同价格的调整方法：</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1、工程量应由承包人按在履行合同义务过程中实际完成的工程量计算后向发包人提出，经审计单位审计后按审定数量结算。</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2、因分部分项工程量清单主要项目漏项或因业主提出的设计变更部分，增加项目及签证部分造成新增的工程量清单综合单价的结算原则为：</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a．投标书中已有适用于变更工程的综合单价，按投标书中已有的综合单价结算；</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b．投标书中有类似于变更工程的综合单价，按投标书中已有的类似的综合单价作相应调整后结算；</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c．投标书中无类似综合单价，结算原则为：依据《建设工程工程量清单计价规范》（GB50500-2013）、《江苏省建筑与装饰工程计价定额》、《江苏省安装工程计价定额》、《江苏省市政工程计价定额》等计价规则中的标准并按中标优惠率同步下浮{即：让利率=【1-（投标总价-不可竞争费）/（标底总价-不可竞争费）】*100}，其中</w:t>
      </w:r>
      <w:r>
        <w:rPr>
          <w:rFonts w:hint="eastAsia" w:ascii="宋体" w:hAnsi="宋体"/>
          <w:b/>
          <w:bCs/>
          <w:sz w:val="21"/>
          <w:szCs w:val="21"/>
          <w:u w:val="single"/>
        </w:rPr>
        <w:t>材料价格按</w:t>
      </w:r>
      <w:r>
        <w:rPr>
          <w:rFonts w:hint="eastAsia" w:ascii="宋体" w:hAnsi="宋体"/>
          <w:sz w:val="21"/>
          <w:szCs w:val="21"/>
          <w:u w:val="single"/>
        </w:rPr>
        <w:t>常州市工程造价管理处发布除税工程信息指导价格（无信息价的以发、承包双方经市场询价后确认的除税价格，且不让利），根据上述要求编制综合单价报发包人确认【不可竞争费用为暂列金额、暂定价】。</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3、工程施工过程中所有需要在合同价外另行增加的内容，承包人必须无条件服从发包人安排，不得以任何理由拖延施工；所涉及费用在竣工结算时由审计确认。</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4、所有涉及工程结算的隐蔽签证单上必须有发包人代表、监理工程师、承包人（项目组）的签字和盖章，方可作为竣工结算的依据，签证单上必须明确签证的原因、位置、尺寸、数量和签证的时间。</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5、结算审定时，审定后的工作量超过招标工程量清单15%时，超过部分需重新核定单价。</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2、总价合同。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3、其他价格方式：</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12.2 预付款</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12.2.1 预付款的支付：无。</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12.3 计量</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12.3.1 计量原则</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cs="宋体"/>
          <w:sz w:val="21"/>
          <w:szCs w:val="21"/>
        </w:rPr>
        <w:t>工程量计算规则：</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sz w:val="21"/>
          <w:szCs w:val="21"/>
          <w:u w:val="single"/>
        </w:rPr>
        <w:t>执行国家标准《建设工程工程量清单计价规范》(GB50500-2013)或其适用的修订版本，承包人实际完成的工程量按约定的工程量计算规则和有合同约束力的图纸进行计量</w:t>
      </w:r>
      <w:r>
        <w:rPr>
          <w:rFonts w:hint="eastAsia" w:ascii="宋体" w:hAnsi="宋体"/>
          <w:sz w:val="21"/>
          <w:szCs w:val="21"/>
        </w:rPr>
        <w:t>。且同时</w:t>
      </w:r>
      <w:r>
        <w:rPr>
          <w:rFonts w:hint="eastAsia" w:ascii="宋体" w:hAnsi="宋体"/>
          <w:sz w:val="21"/>
          <w:szCs w:val="21"/>
          <w:u w:val="single"/>
        </w:rPr>
        <w:t>实行相关单位、建设、监理、施工单位四方共同计量制度，严格按照工程量清单数量执行，工程未经验收或不合格，不能计量；因施工单位的原因造成返工的工程量不予计量，不符合合同文件要求的不得计量；现场计量做到准确、真实、合法和及时，杜绝漏计、重计。</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12.4 工程进度款支付</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12.4.1 付款周期</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sz w:val="21"/>
          <w:szCs w:val="21"/>
        </w:rPr>
        <w:t>关于付款周期的约定：</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双方约定的工程款（进度款）支付的方式和时间：</w:t>
      </w:r>
    </w:p>
    <w:p>
      <w:pPr>
        <w:pStyle w:val="4"/>
        <w:keepNext w:val="0"/>
        <w:keepLines w:val="0"/>
        <w:pageBreakBefore w:val="0"/>
        <w:kinsoku/>
        <w:wordWrap w:val="0"/>
        <w:overflowPunct/>
        <w:topLinePunct/>
        <w:autoSpaceDE/>
        <w:autoSpaceDN/>
        <w:bidi w:val="0"/>
        <w:spacing w:before="120"/>
        <w:jc w:val="left"/>
        <w:textAlignment w:val="auto"/>
        <w:rPr>
          <w:rFonts w:hint="eastAsia" w:ascii="宋体" w:hAnsi="宋体" w:eastAsia="宋体" w:cs="宋体"/>
          <w:bCs w:val="0"/>
          <w:snapToGrid/>
          <w:color w:val="0000FF"/>
          <w:kern w:val="0"/>
          <w:sz w:val="21"/>
          <w:szCs w:val="21"/>
          <w:u w:val="single"/>
        </w:rPr>
      </w:pPr>
      <w:bookmarkStart w:id="149" w:name="_Toc455136299"/>
      <w:bookmarkStart w:id="150" w:name="_Toc491507708"/>
      <w:r>
        <w:rPr>
          <w:rFonts w:hint="eastAsia" w:ascii="宋体" w:hAnsi="宋体" w:eastAsia="宋体" w:cs="宋体"/>
          <w:bCs w:val="0"/>
          <w:snapToGrid/>
          <w:color w:val="0000FF"/>
          <w:kern w:val="0"/>
          <w:sz w:val="21"/>
          <w:szCs w:val="21"/>
          <w:u w:val="single"/>
        </w:rPr>
        <w:t>工程经镇级验收合格后的当年支付至合同价的40%，镇级验收合格后的次年支付至审定价的70%，镇级验收合格后的再次年且经项目主管部门最终竣工验收合格后完成支付（质量保证金按规定扣除）。（各支付节点支付工程款时需同时提供等额的增值税发票）</w:t>
      </w:r>
    </w:p>
    <w:p>
      <w:pPr>
        <w:pStyle w:val="4"/>
        <w:keepNext w:val="0"/>
        <w:keepLines w:val="0"/>
        <w:pageBreakBefore w:val="0"/>
        <w:kinsoku/>
        <w:wordWrap w:val="0"/>
        <w:overflowPunct/>
        <w:topLinePunct/>
        <w:autoSpaceDE/>
        <w:autoSpaceDN/>
        <w:bidi w:val="0"/>
        <w:spacing w:before="120"/>
        <w:jc w:val="left"/>
        <w:textAlignment w:val="auto"/>
        <w:rPr>
          <w:rFonts w:hint="eastAsia"/>
          <w:color w:val="auto"/>
          <w:sz w:val="21"/>
          <w:szCs w:val="21"/>
        </w:rPr>
      </w:pPr>
      <w:r>
        <w:rPr>
          <w:rFonts w:cs="宋体"/>
          <w:color w:val="auto"/>
          <w:sz w:val="21"/>
          <w:szCs w:val="21"/>
        </w:rPr>
        <w:t xml:space="preserve">13. </w:t>
      </w:r>
      <w:r>
        <w:rPr>
          <w:rFonts w:hint="eastAsia" w:cs="宋体"/>
          <w:color w:val="auto"/>
          <w:sz w:val="21"/>
          <w:szCs w:val="21"/>
        </w:rPr>
        <w:t>验收和工程试车</w:t>
      </w:r>
      <w:bookmarkEnd w:id="149"/>
      <w:bookmarkEnd w:id="150"/>
      <w:r>
        <w:rPr>
          <w:rFonts w:hint="eastAsia" w:cs="宋体"/>
          <w:color w:val="auto"/>
          <w:sz w:val="21"/>
          <w:szCs w:val="21"/>
        </w:rPr>
        <w:t>　　</w:t>
      </w:r>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13.1 分部分项工程验收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13.1.2 监理人不能按时进行验收时，应提前</w:t>
      </w:r>
      <w:r>
        <w:rPr>
          <w:rFonts w:hint="eastAsia" w:ascii="宋体" w:hAnsi="宋体" w:cs="宋体"/>
          <w:sz w:val="21"/>
          <w:szCs w:val="21"/>
          <w:u w:val="single"/>
        </w:rPr>
        <w:t xml:space="preserve"> 24 </w:t>
      </w:r>
      <w:r>
        <w:rPr>
          <w:rFonts w:hint="eastAsia" w:ascii="宋体" w:hAnsi="宋体" w:cs="宋体"/>
          <w:sz w:val="21"/>
          <w:szCs w:val="21"/>
        </w:rPr>
        <w:t>小时提交书面延期要求。</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关于延期最长不得超过：</w:t>
      </w:r>
      <w:r>
        <w:rPr>
          <w:rFonts w:hint="eastAsia" w:ascii="宋体" w:hAnsi="宋体" w:cs="宋体"/>
          <w:sz w:val="21"/>
          <w:szCs w:val="21"/>
          <w:u w:val="single"/>
        </w:rPr>
        <w:t xml:space="preserve"> 48 </w:t>
      </w:r>
      <w:r>
        <w:rPr>
          <w:rFonts w:hint="eastAsia" w:ascii="宋体" w:hAnsi="宋体" w:cs="宋体"/>
          <w:sz w:val="21"/>
          <w:szCs w:val="21"/>
        </w:rPr>
        <w:t>小时。</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 xml:space="preserve">13.1.3 </w:t>
      </w:r>
      <w:r>
        <w:rPr>
          <w:rFonts w:hint="eastAsia" w:ascii="宋体" w:hAnsi="宋体" w:cs="宋体"/>
          <w:sz w:val="21"/>
          <w:szCs w:val="21"/>
          <w:u w:val="single"/>
        </w:rPr>
        <w:t>工程建设过程中，严格执行分部分项验收管理制度。勘察、规划设计、施工、监理、检测单位应履行其质量责任和义务。严格按照施工验收规范,质量验收标准和国家强制性标准，组织建设工程的分部分项工程验收,隐蔽工程验收,材料检验、性能复试等。分部分项工程的验收由相关单位组织建设、施工、监理、检测等相关职能部门共同到场核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13.2 竣工验收</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13.2.2 关于竣工验收程序的约定：</w:t>
      </w:r>
      <w:r>
        <w:rPr>
          <w:rFonts w:hint="eastAsia" w:ascii="宋体" w:hAnsi="宋体" w:cs="宋体"/>
          <w:sz w:val="21"/>
          <w:szCs w:val="21"/>
          <w:u w:val="single"/>
        </w:rPr>
        <w:t>删除原条款代之以：工程完工后, 施工单位应向相关单位提供完整的竣工资料和竣工验收报告。相关单位收到竣工验收申请报告后,依据有关法律、法规、工程建设强制性标准、设计文件及施工合同,对报送的竣工资料审查合格后,报工程建设指挥部，并组织建设、规划设计、监察、施工、监理、检测等相关单位进行竣工验收。对存在的问题和工程中的质量缺陷进行检查、记录, 并限期整改；对验收合格的工程,签署《工程交（竣）工验收单》。</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13.2.3  工程项目竣工验收应当具备下列条件：</w:t>
      </w:r>
      <w:r>
        <w:rPr>
          <w:rFonts w:hint="eastAsia" w:ascii="宋体" w:hAnsi="宋体" w:cs="宋体"/>
          <w:sz w:val="21"/>
          <w:szCs w:val="21"/>
          <w:u w:val="single"/>
        </w:rPr>
        <w:t>完成工程项目计划和合同约定的各项内容；有完整的技术档案和施工管理资料；有工程使用的主要建筑材料、建筑构配件和设备的进场试验报告；有勘察、规划设计、施工、监理、检测等单位分别签署的质量合格文件和施工单位签署的工程保修书。</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13.2.5 移交、接收全部与部分工程</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u w:val="single"/>
        </w:rPr>
        <w:t>工程移交：工程竣工验收合格后, 依照相关规定，相关单位组织相关部门进行移交工作。接收单位对项目的水电、燃气、暖通等设施介入管理。在质量保修期内所要进行的维修，由相关单位通知施工单位进行维修。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13.3 工程试车</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13.3.1 试车程序</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工程试车内容：</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13.3.3 投料试车</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关于投料试车相关事项的约定：</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13.6 竣工退场</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13.6.1 竣工退场</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承包人完成竣工退场的期限：</w:t>
      </w:r>
      <w:r>
        <w:rPr>
          <w:rFonts w:hint="eastAsia" w:ascii="宋体" w:hAnsi="宋体" w:cs="宋体"/>
          <w:sz w:val="21"/>
          <w:szCs w:val="21"/>
          <w:u w:val="single"/>
        </w:rPr>
        <w:t xml:space="preserve"> / </w:t>
      </w:r>
      <w:r>
        <w:rPr>
          <w:rFonts w:hint="eastAsia" w:ascii="宋体" w:hAnsi="宋体" w:cs="宋体"/>
          <w:sz w:val="21"/>
          <w:szCs w:val="21"/>
        </w:rPr>
        <w:t>。</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51" w:name="_Toc491507709"/>
      <w:bookmarkStart w:id="152" w:name="_Toc455136300"/>
      <w:r>
        <w:rPr>
          <w:rFonts w:cs="宋体"/>
          <w:color w:val="auto"/>
          <w:sz w:val="21"/>
          <w:szCs w:val="21"/>
        </w:rPr>
        <w:t xml:space="preserve">14. </w:t>
      </w:r>
      <w:r>
        <w:rPr>
          <w:rFonts w:hint="eastAsia" w:cs="宋体"/>
          <w:color w:val="auto"/>
          <w:sz w:val="21"/>
          <w:szCs w:val="21"/>
        </w:rPr>
        <w:t>竣工结算</w:t>
      </w:r>
      <w:bookmarkEnd w:id="151"/>
      <w:bookmarkEnd w:id="152"/>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14.1 竣工付款申请</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承包人提交竣工付款申请单的期限：</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竣工付款申请单应包括的内容：</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14.2 竣工结算审核</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发包人审批竣工付款申请单的期限：</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发包人完成竣工付款的期限：</w:t>
      </w:r>
      <w:r>
        <w:rPr>
          <w:rFonts w:hint="eastAsia" w:ascii="宋体" w:hAnsi="宋体" w:cs="宋体"/>
          <w:sz w:val="21"/>
          <w:szCs w:val="21"/>
          <w:u w:val="single"/>
        </w:rPr>
        <w:t xml:space="preserve"> 按专用条款12.4.1执行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关于竣工付款证书异议部分复核的方式和程序：</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14.4 最终结清;</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14.4.1 最终结清申请单</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承包人提交最终结清申请单的份数：</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承包人提交最终结清申请单的期限：</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14.4.2 最终结清证书和支付</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（1）发包人完成最终结清申请单的审批并颁发最终结清证书的期限：</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（2）发包人完成支付的期限：</w:t>
      </w:r>
      <w:r>
        <w:rPr>
          <w:rFonts w:hint="eastAsia" w:ascii="宋体" w:hAnsi="宋体" w:cs="宋体"/>
          <w:sz w:val="21"/>
          <w:szCs w:val="21"/>
          <w:u w:val="single"/>
        </w:rPr>
        <w:t xml:space="preserve">按专用条款12.4.1执行 </w:t>
      </w:r>
      <w:r>
        <w:rPr>
          <w:rFonts w:hint="eastAsia" w:ascii="宋体" w:hAnsi="宋体" w:cs="宋体"/>
          <w:sz w:val="21"/>
          <w:szCs w:val="21"/>
        </w:rPr>
        <w:t>。</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53" w:name="_Toc491507710"/>
      <w:bookmarkStart w:id="154" w:name="_Toc455136301"/>
      <w:r>
        <w:rPr>
          <w:rFonts w:cs="宋体"/>
          <w:color w:val="auto"/>
          <w:sz w:val="21"/>
          <w:szCs w:val="21"/>
        </w:rPr>
        <w:t xml:space="preserve">15. </w:t>
      </w:r>
      <w:r>
        <w:rPr>
          <w:rFonts w:hint="eastAsia" w:cs="宋体"/>
          <w:color w:val="auto"/>
          <w:sz w:val="21"/>
          <w:szCs w:val="21"/>
        </w:rPr>
        <w:t>缺陷责任期与保修</w:t>
      </w:r>
      <w:bookmarkEnd w:id="153"/>
      <w:bookmarkEnd w:id="154"/>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15.2 缺陷责任制</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缺陷责任期的具体期限：</w:t>
      </w:r>
      <w:r>
        <w:rPr>
          <w:rFonts w:hint="eastAsia" w:ascii="宋体" w:hAnsi="宋体" w:cs="宋体"/>
          <w:sz w:val="21"/>
          <w:szCs w:val="21"/>
          <w:u w:val="single"/>
        </w:rPr>
        <w:t>24个月。</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15.3 质量保证金</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关于是否扣留质量保证金的约定：</w:t>
      </w:r>
      <w:r>
        <w:rPr>
          <w:rFonts w:hint="eastAsia" w:ascii="宋体" w:hAnsi="宋体"/>
          <w:sz w:val="21"/>
          <w:szCs w:val="21"/>
          <w:u w:val="single"/>
        </w:rPr>
        <w:t>按审定价的3%扣除质量保证金。</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15.3.1 承包人提供质量保证金的方式</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质量保证金采用以下第</w:t>
      </w:r>
      <w:r>
        <w:rPr>
          <w:rFonts w:hint="eastAsia" w:ascii="宋体" w:hAnsi="宋体"/>
          <w:sz w:val="21"/>
          <w:szCs w:val="21"/>
          <w:u w:val="single"/>
        </w:rPr>
        <w:t>（2）</w:t>
      </w:r>
      <w:r>
        <w:rPr>
          <w:rFonts w:hint="eastAsia" w:ascii="宋体" w:hAnsi="宋体" w:cs="宋体"/>
          <w:sz w:val="21"/>
          <w:szCs w:val="21"/>
        </w:rPr>
        <w:t>种方式：</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（1）质量保证金保函，保证金额为：</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w:t>
      </w:r>
      <w:r>
        <w:rPr>
          <w:rFonts w:hint="eastAsia" w:ascii="宋体" w:hAnsi="宋体"/>
          <w:sz w:val="21"/>
          <w:szCs w:val="21"/>
          <w:u w:val="single"/>
        </w:rPr>
        <w:t>审定价的3%</w:t>
      </w:r>
      <w:r>
        <w:rPr>
          <w:rFonts w:hint="eastAsia" w:ascii="宋体" w:hAnsi="宋体" w:cs="宋体"/>
          <w:sz w:val="21"/>
          <w:szCs w:val="21"/>
        </w:rPr>
        <w:t>的工程款；</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15.3.2 质量保证金的扣留</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质量保证金的扣留采取以下第</w:t>
      </w:r>
      <w:r>
        <w:rPr>
          <w:rFonts w:hint="eastAsia" w:ascii="宋体" w:hAnsi="宋体"/>
          <w:sz w:val="21"/>
          <w:szCs w:val="21"/>
          <w:u w:val="single"/>
        </w:rPr>
        <w:t>（2）</w:t>
      </w:r>
      <w:r>
        <w:rPr>
          <w:rFonts w:hint="eastAsia" w:ascii="宋体" w:hAnsi="宋体" w:cs="宋体"/>
          <w:sz w:val="21"/>
          <w:szCs w:val="21"/>
        </w:rPr>
        <w:t>种方式：</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（1）在支付工程进度款时逐次扣留，在此情形下，质量保证金的计算基数不包括预付款的支付、扣回以及价格调整的金额；</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（2）工程竣工结算时一次性扣留质量保证金；</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15.4 保修</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5.4.1 保修责任</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工程保修期为：</w:t>
      </w:r>
      <w:r>
        <w:rPr>
          <w:rFonts w:hint="eastAsia" w:ascii="宋体" w:hAnsi="宋体" w:cs="宋体"/>
          <w:sz w:val="21"/>
          <w:szCs w:val="21"/>
          <w:u w:val="single"/>
        </w:rPr>
        <w:t>详见工程质量保修书</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15.4.3 修复通知</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承包人收到保修通知并到达工程现场的合理时间：</w:t>
      </w:r>
      <w:r>
        <w:rPr>
          <w:rFonts w:hint="eastAsia" w:ascii="宋体" w:hAnsi="宋体"/>
          <w:sz w:val="21"/>
          <w:szCs w:val="21"/>
          <w:u w:val="single"/>
        </w:rPr>
        <w:t>承包人收到保修通知后8小时内到达工程现场。</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55" w:name="_Toc455136302"/>
      <w:bookmarkStart w:id="156" w:name="_Toc491507711"/>
      <w:r>
        <w:rPr>
          <w:rFonts w:cs="宋体"/>
          <w:color w:val="auto"/>
          <w:sz w:val="21"/>
          <w:szCs w:val="21"/>
        </w:rPr>
        <w:t xml:space="preserve">16. </w:t>
      </w:r>
      <w:r>
        <w:rPr>
          <w:rFonts w:hint="eastAsia" w:cs="宋体"/>
          <w:color w:val="auto"/>
          <w:sz w:val="21"/>
          <w:szCs w:val="21"/>
        </w:rPr>
        <w:t>违约</w:t>
      </w:r>
      <w:bookmarkEnd w:id="155"/>
      <w:bookmarkEnd w:id="156"/>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16.1 发包人违约</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16.1.1 发包人违约的情形</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发包人违约的其他情形：</w:t>
      </w:r>
      <w:r>
        <w:rPr>
          <w:rFonts w:hint="eastAsia" w:ascii="宋体" w:hAnsi="宋体"/>
          <w:sz w:val="21"/>
          <w:szCs w:val="21"/>
          <w:u w:val="single"/>
        </w:rPr>
        <w:t>若因发包人原因需减少或取消部分工程量清单，发包人只对已发生的合格工程量负责，根据已发生的合格工程量与承包人办理结算，不承担其它违约责任。</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16.1.2 发包人违约的责任</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发包人违约责任的承担方式和计算方法：/。</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16.1.3 因发包人违约解除合同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承包人按16.1.1项[发包人违约的情形]约定暂定施工满</w:t>
      </w:r>
      <w:r>
        <w:rPr>
          <w:rFonts w:hint="eastAsia" w:ascii="宋体" w:hAnsi="MS Gothic" w:cs="MS Gothic"/>
          <w:sz w:val="21"/>
          <w:szCs w:val="21"/>
        </w:rPr>
        <w:t>/</w:t>
      </w:r>
      <w:r>
        <w:rPr>
          <w:rFonts w:hint="eastAsia" w:ascii="宋体" w:hAnsi="宋体" w:cs="宋体"/>
          <w:sz w:val="21"/>
          <w:szCs w:val="21"/>
        </w:rPr>
        <w:t>天后发包人仍不纠正其违约行为并致使合同目的不能实现的，承包人有权解除合同。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16.2 承包人违约</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16.2.1 承包人违约的情形</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承包人违约的其他情形：</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sz w:val="21"/>
          <w:szCs w:val="21"/>
          <w:u w:val="single"/>
        </w:rPr>
        <w:t>（1）承包人必须遵守发包人发布的工程变更签证管理制度及各项管理规定。包括发包人委托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pPr>
        <w:pageBreakBefore w:val="0"/>
        <w:kinsoku/>
        <w:wordWrap w:val="0"/>
        <w:overflowPunct/>
        <w:topLinePunct/>
        <w:autoSpaceDE/>
        <w:autoSpaceDN/>
        <w:bidi w:val="0"/>
        <w:textAlignment w:val="auto"/>
        <w:rPr>
          <w:rFonts w:hint="eastAsia" w:ascii="宋体" w:hAnsi="宋体"/>
          <w:sz w:val="21"/>
          <w:szCs w:val="21"/>
          <w:u w:val="single"/>
        </w:rPr>
      </w:pPr>
      <w:r>
        <w:rPr>
          <w:rFonts w:hint="eastAsia" w:ascii="宋体" w:hAnsi="宋体"/>
          <w:sz w:val="21"/>
          <w:szCs w:val="21"/>
          <w:u w:val="single"/>
        </w:rPr>
        <w:t>（2）承包人不得以任何理由拒绝发包人提出的关于工程设计变更及其他零星工作施工的要求，否则按本合同相关条款执行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16.2.2 承包人违约的责任</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承包人违约责任的承担方式和计算方法：</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16.2.3 因承包人违约解除合同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关于承包人违约解除合同的特别约定：</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发包人继续使用承包人在施工现场的材料、设备、临时工程、承包人文件和由承包人或以其名义编制的其他文件的费用承担方式：</w:t>
      </w:r>
      <w:r>
        <w:rPr>
          <w:rFonts w:hint="eastAsia" w:ascii="宋体" w:hAnsi="宋体" w:cs="宋体"/>
          <w:sz w:val="21"/>
          <w:szCs w:val="21"/>
          <w:u w:val="single"/>
        </w:rPr>
        <w:t xml:space="preserve"> / </w:t>
      </w:r>
      <w:r>
        <w:rPr>
          <w:rFonts w:hint="eastAsia" w:ascii="宋体" w:hAnsi="宋体" w:cs="宋体"/>
          <w:sz w:val="21"/>
          <w:szCs w:val="21"/>
        </w:rPr>
        <w:t>。</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57" w:name="_Toc491507712"/>
      <w:bookmarkStart w:id="158" w:name="_Toc455136303"/>
      <w:r>
        <w:rPr>
          <w:rFonts w:cs="宋体"/>
          <w:color w:val="auto"/>
          <w:sz w:val="21"/>
          <w:szCs w:val="21"/>
        </w:rPr>
        <w:t xml:space="preserve">17. </w:t>
      </w:r>
      <w:r>
        <w:rPr>
          <w:rFonts w:hint="eastAsia" w:cs="宋体"/>
          <w:color w:val="auto"/>
          <w:sz w:val="21"/>
          <w:szCs w:val="21"/>
        </w:rPr>
        <w:t>不可抗力</w:t>
      </w:r>
      <w:bookmarkEnd w:id="157"/>
      <w:bookmarkEnd w:id="158"/>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17.1 不可抗力的确认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除通用合同条款约定的不可抗力事件之外，视为不可抗力的其他情形：</w:t>
      </w:r>
      <w:r>
        <w:rPr>
          <w:rFonts w:hint="eastAsia" w:ascii="宋体" w:hAnsi="宋体"/>
          <w:sz w:val="21"/>
          <w:szCs w:val="21"/>
          <w:u w:val="single"/>
        </w:rPr>
        <w:t>因战争、动乱、空中飞行物体坠落或其他非发包方承包方责任造成的爆炸、火灾，以及自然灾害或相关法律法规规定的其他情形。</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17.4 因不可抗力解除合同</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合同解除后，发包人应在商定或确定发包人应支付款项后</w:t>
      </w:r>
      <w:r>
        <w:rPr>
          <w:rFonts w:hint="eastAsia" w:ascii="宋体" w:hAnsi="宋体"/>
          <w:sz w:val="21"/>
          <w:szCs w:val="21"/>
          <w:u w:val="single"/>
        </w:rPr>
        <w:t xml:space="preserve">  90 </w:t>
      </w:r>
      <w:r>
        <w:rPr>
          <w:rFonts w:hint="eastAsia" w:ascii="宋体" w:hAnsi="宋体" w:cs="宋体"/>
          <w:sz w:val="21"/>
          <w:szCs w:val="21"/>
        </w:rPr>
        <w:t>天内完成款项的支付。</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59" w:name="_Toc455136304"/>
      <w:bookmarkStart w:id="160" w:name="_Toc491507713"/>
      <w:r>
        <w:rPr>
          <w:rFonts w:cs="宋体"/>
          <w:color w:val="auto"/>
          <w:sz w:val="21"/>
          <w:szCs w:val="21"/>
        </w:rPr>
        <w:t xml:space="preserve">18. </w:t>
      </w:r>
      <w:r>
        <w:rPr>
          <w:rFonts w:hint="eastAsia" w:cs="宋体"/>
          <w:color w:val="auto"/>
          <w:sz w:val="21"/>
          <w:szCs w:val="21"/>
        </w:rPr>
        <w:t>保险</w:t>
      </w:r>
      <w:bookmarkEnd w:id="159"/>
      <w:bookmarkEnd w:id="160"/>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18.1 工程保险</w:t>
      </w:r>
    </w:p>
    <w:p>
      <w:pPr>
        <w:pageBreakBefore w:val="0"/>
        <w:kinsoku/>
        <w:wordWrap w:val="0"/>
        <w:overflowPunct/>
        <w:topLinePunct/>
        <w:autoSpaceDE/>
        <w:autoSpaceDN/>
        <w:bidi w:val="0"/>
        <w:textAlignment w:val="auto"/>
        <w:rPr>
          <w:rFonts w:hint="eastAsia" w:ascii="宋体" w:hAnsi="宋体" w:cs="宋体"/>
          <w:sz w:val="21"/>
          <w:szCs w:val="21"/>
          <w:u w:val="single"/>
        </w:rPr>
      </w:pPr>
      <w:r>
        <w:rPr>
          <w:rFonts w:hint="eastAsia" w:ascii="宋体" w:hAnsi="宋体" w:cs="宋体"/>
          <w:sz w:val="21"/>
          <w:szCs w:val="21"/>
        </w:rPr>
        <w:t>关于工程保险的特别约定</w:t>
      </w:r>
      <w:r>
        <w:rPr>
          <w:rFonts w:hint="eastAsia" w:ascii="宋体" w:hAnsi="宋体" w:cs="宋体"/>
          <w:sz w:val="21"/>
          <w:szCs w:val="21"/>
          <w:u w:val="single"/>
        </w:rPr>
        <w:t>：1、建筑工程一切险、工商保险及其它险种均由承包人自行投保，其费用包括在合同价款中；2、该保险涵盖进入施工现场的所有人员。</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18.3 其他保险</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关于其他保险的约定：</w:t>
      </w:r>
      <w:r>
        <w:rPr>
          <w:rFonts w:hint="eastAsia" w:ascii="宋体" w:hAnsi="宋体" w:cs="宋体"/>
          <w:sz w:val="21"/>
          <w:szCs w:val="21"/>
          <w:u w:val="single"/>
        </w:rPr>
        <w:t xml:space="preserve"> / </w:t>
      </w:r>
      <w:r>
        <w:rPr>
          <w:rFonts w:hint="eastAsia" w:ascii="宋体" w:hAnsi="宋体" w:cs="宋体"/>
          <w:sz w:val="21"/>
          <w:szCs w:val="21"/>
        </w:rPr>
        <w:t>。</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承包人是否应为其施工设备等办理财产险： </w:t>
      </w:r>
      <w:r>
        <w:rPr>
          <w:rFonts w:hint="eastAsia" w:ascii="宋体" w:hAnsi="宋体" w:cs="宋体"/>
          <w:sz w:val="21"/>
          <w:szCs w:val="21"/>
          <w:u w:val="single"/>
        </w:rPr>
        <w:t>承包人自理。</w:t>
      </w:r>
      <w:r>
        <w:rPr>
          <w:rFonts w:hint="eastAsia" w:ascii="宋体" w:hAnsi="宋体" w:cs="宋体"/>
          <w:sz w:val="21"/>
          <w:szCs w:val="21"/>
        </w:rPr>
        <w:t xml:space="preserve">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18.7 通知义务</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关于变更保险合同时的通知义务的约定：</w:t>
      </w:r>
      <w:r>
        <w:rPr>
          <w:rFonts w:hint="eastAsia" w:ascii="宋体" w:hAnsi="宋体" w:cs="宋体"/>
          <w:sz w:val="21"/>
          <w:szCs w:val="21"/>
          <w:u w:val="single"/>
        </w:rPr>
        <w:t xml:space="preserve"> / </w:t>
      </w:r>
      <w:r>
        <w:rPr>
          <w:rFonts w:hint="eastAsia" w:ascii="宋体" w:hAnsi="宋体" w:cs="宋体"/>
          <w:sz w:val="21"/>
          <w:szCs w:val="21"/>
        </w:rPr>
        <w:t>。</w:t>
      </w:r>
    </w:p>
    <w:p>
      <w:pPr>
        <w:pStyle w:val="4"/>
        <w:keepNext w:val="0"/>
        <w:keepLines w:val="0"/>
        <w:pageBreakBefore w:val="0"/>
        <w:kinsoku/>
        <w:wordWrap w:val="0"/>
        <w:overflowPunct/>
        <w:topLinePunct/>
        <w:autoSpaceDE/>
        <w:autoSpaceDN/>
        <w:bidi w:val="0"/>
        <w:spacing w:before="120"/>
        <w:textAlignment w:val="auto"/>
        <w:rPr>
          <w:rFonts w:hint="eastAsia"/>
          <w:color w:val="auto"/>
          <w:sz w:val="21"/>
          <w:szCs w:val="21"/>
        </w:rPr>
      </w:pPr>
      <w:bookmarkStart w:id="161" w:name="_Toc455136305"/>
      <w:bookmarkStart w:id="162" w:name="_Toc491507714"/>
      <w:r>
        <w:rPr>
          <w:rFonts w:cs="宋体"/>
          <w:color w:val="auto"/>
          <w:sz w:val="21"/>
          <w:szCs w:val="21"/>
        </w:rPr>
        <w:t xml:space="preserve">20. </w:t>
      </w:r>
      <w:r>
        <w:rPr>
          <w:rFonts w:hint="eastAsia" w:cs="宋体"/>
          <w:color w:val="auto"/>
          <w:sz w:val="21"/>
          <w:szCs w:val="21"/>
        </w:rPr>
        <w:t>争议解决</w:t>
      </w:r>
      <w:bookmarkEnd w:id="161"/>
      <w:bookmarkEnd w:id="162"/>
    </w:p>
    <w:p>
      <w:pPr>
        <w:pageBreakBefore w:val="0"/>
        <w:kinsoku/>
        <w:wordWrap w:val="0"/>
        <w:overflowPunct/>
        <w:topLinePunct/>
        <w:autoSpaceDE/>
        <w:autoSpaceDN/>
        <w:bidi w:val="0"/>
        <w:textAlignment w:val="auto"/>
        <w:rPr>
          <w:rFonts w:ascii="宋体" w:hAnsi="宋体"/>
          <w:sz w:val="21"/>
          <w:szCs w:val="21"/>
        </w:rPr>
      </w:pPr>
      <w:r>
        <w:rPr>
          <w:rFonts w:hint="eastAsia" w:ascii="宋体" w:hAnsi="宋体" w:cs="宋体"/>
          <w:sz w:val="21"/>
          <w:szCs w:val="21"/>
        </w:rPr>
        <w:t>20.4 仲裁或诉讼</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因合同及合同有关事项发生的争议，按下列第 </w:t>
      </w:r>
      <w:r>
        <w:rPr>
          <w:rFonts w:hint="eastAsia" w:ascii="宋体" w:hAnsi="宋体" w:cs="宋体"/>
          <w:sz w:val="21"/>
          <w:szCs w:val="21"/>
          <w:u w:val="single"/>
        </w:rPr>
        <w:t>（2）</w:t>
      </w:r>
      <w:r>
        <w:rPr>
          <w:rFonts w:hint="eastAsia" w:ascii="宋体" w:hAnsi="宋体" w:cs="宋体"/>
          <w:sz w:val="21"/>
          <w:szCs w:val="21"/>
        </w:rPr>
        <w:t>种方式解决：</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（1）向仲裁委员会申请仲裁；</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（2）向金坛区人民法院提起诉讼。</w:t>
      </w:r>
    </w:p>
    <w:p>
      <w:pPr>
        <w:pStyle w:val="4"/>
        <w:keepNext w:val="0"/>
        <w:keepLines w:val="0"/>
        <w:pageBreakBefore w:val="0"/>
        <w:kinsoku/>
        <w:wordWrap w:val="0"/>
        <w:overflowPunct/>
        <w:topLinePunct/>
        <w:autoSpaceDE/>
        <w:autoSpaceDN/>
        <w:bidi w:val="0"/>
        <w:spacing w:before="120"/>
        <w:textAlignment w:val="auto"/>
        <w:rPr>
          <w:rFonts w:hint="eastAsia" w:cs="宋体"/>
          <w:color w:val="auto"/>
          <w:sz w:val="21"/>
          <w:szCs w:val="21"/>
        </w:rPr>
      </w:pPr>
      <w:bookmarkStart w:id="163" w:name="_Toc491507715"/>
      <w:bookmarkStart w:id="164" w:name="_Toc455136306"/>
      <w:r>
        <w:rPr>
          <w:rFonts w:cs="宋体"/>
          <w:color w:val="auto"/>
          <w:sz w:val="21"/>
          <w:szCs w:val="21"/>
        </w:rPr>
        <w:t xml:space="preserve">21. </w:t>
      </w:r>
      <w:r>
        <w:rPr>
          <w:rFonts w:hint="eastAsia" w:cs="宋体"/>
          <w:color w:val="auto"/>
          <w:sz w:val="21"/>
          <w:szCs w:val="21"/>
        </w:rPr>
        <w:t>补充条款</w:t>
      </w:r>
      <w:bookmarkEnd w:id="163"/>
      <w:bookmarkEnd w:id="164"/>
    </w:p>
    <w:p>
      <w:pPr>
        <w:pageBreakBefore w:val="0"/>
        <w:kinsoku/>
        <w:wordWrap w:val="0"/>
        <w:overflowPunct/>
        <w:topLinePunct/>
        <w:autoSpaceDE/>
        <w:autoSpaceDN/>
        <w:bidi w:val="0"/>
        <w:textAlignment w:val="auto"/>
        <w:rPr>
          <w:rFonts w:ascii="宋体" w:hAnsi="宋体"/>
          <w:bCs/>
          <w:sz w:val="21"/>
          <w:szCs w:val="21"/>
          <w:u w:val="single"/>
        </w:rPr>
      </w:pPr>
      <w:r>
        <w:rPr>
          <w:rFonts w:hint="eastAsia" w:ascii="宋体" w:hAnsi="宋体"/>
          <w:bCs/>
          <w:sz w:val="21"/>
          <w:szCs w:val="21"/>
          <w:u w:val="single"/>
        </w:rPr>
        <w:t>补充说明：</w:t>
      </w:r>
    </w:p>
    <w:p>
      <w:pPr>
        <w:pageBreakBefore w:val="0"/>
        <w:kinsoku/>
        <w:wordWrap w:val="0"/>
        <w:overflowPunct/>
        <w:topLinePunct/>
        <w:autoSpaceDE/>
        <w:autoSpaceDN/>
        <w:bidi w:val="0"/>
        <w:textAlignment w:val="auto"/>
        <w:rPr>
          <w:rFonts w:hint="eastAsia" w:ascii="宋体" w:hAnsi="宋体"/>
          <w:bCs/>
          <w:sz w:val="21"/>
          <w:szCs w:val="21"/>
          <w:u w:val="single"/>
        </w:rPr>
      </w:pPr>
      <w:r>
        <w:rPr>
          <w:rFonts w:hint="eastAsia" w:ascii="宋体" w:hAnsi="宋体"/>
          <w:bCs/>
          <w:sz w:val="21"/>
          <w:szCs w:val="21"/>
          <w:u w:val="single"/>
        </w:rPr>
        <w:t>1、承包人承诺：在工程款按合同约定支付到位的情况下，承包人应确保农民工工资、专业分包工程款、材料供应款的支付到位，承担因农民工工资、专业分包工程款、材料供应款等不到位而引发的一切责任。</w:t>
      </w:r>
    </w:p>
    <w:p>
      <w:pPr>
        <w:pageBreakBefore w:val="0"/>
        <w:kinsoku/>
        <w:wordWrap w:val="0"/>
        <w:overflowPunct/>
        <w:topLinePunct/>
        <w:autoSpaceDE/>
        <w:autoSpaceDN/>
        <w:bidi w:val="0"/>
        <w:textAlignment w:val="auto"/>
        <w:rPr>
          <w:rFonts w:hint="eastAsia" w:ascii="宋体" w:hAnsi="宋体"/>
          <w:bCs/>
          <w:sz w:val="21"/>
          <w:szCs w:val="21"/>
          <w:u w:val="single"/>
        </w:rPr>
      </w:pPr>
      <w:bookmarkStart w:id="165" w:name="_Toc455135510"/>
      <w:r>
        <w:rPr>
          <w:rFonts w:hint="eastAsia" w:ascii="宋体" w:hAnsi="宋体"/>
          <w:bCs/>
          <w:sz w:val="21"/>
          <w:szCs w:val="21"/>
          <w:u w:val="single"/>
        </w:rPr>
        <w:t>2、</w:t>
      </w:r>
      <w:bookmarkEnd w:id="165"/>
      <w:bookmarkStart w:id="166" w:name="_Toc455135556"/>
      <w:r>
        <w:rPr>
          <w:rFonts w:hint="eastAsia" w:ascii="宋体" w:hAnsi="宋体"/>
          <w:bCs/>
          <w:sz w:val="21"/>
          <w:szCs w:val="21"/>
          <w:u w:val="single"/>
        </w:rPr>
        <w:t>临时停水、停电、二次搬运、成品保护等所需措施的一切费用和工期，承包人均已在投标报价时充分考虑，并已考虑了各种可能因素影响施工所增加的费用，因此，发生上述情</w:t>
      </w:r>
      <w:bookmarkEnd w:id="166"/>
      <w:bookmarkStart w:id="167" w:name="_Toc455135575"/>
      <w:r>
        <w:rPr>
          <w:rFonts w:hint="eastAsia" w:ascii="宋体" w:hAnsi="宋体"/>
          <w:bCs/>
          <w:sz w:val="21"/>
          <w:szCs w:val="21"/>
          <w:u w:val="single"/>
        </w:rPr>
        <w:t>3、关于结算：</w:t>
      </w:r>
    </w:p>
    <w:p>
      <w:pPr>
        <w:pageBreakBefore w:val="0"/>
        <w:kinsoku/>
        <w:wordWrap w:val="0"/>
        <w:overflowPunct/>
        <w:topLinePunct/>
        <w:autoSpaceDE/>
        <w:autoSpaceDN/>
        <w:bidi w:val="0"/>
        <w:ind w:firstLine="420"/>
        <w:textAlignment w:val="auto"/>
        <w:rPr>
          <w:rFonts w:hint="eastAsia" w:ascii="宋体" w:hAnsi="宋体"/>
          <w:bCs/>
          <w:sz w:val="21"/>
          <w:szCs w:val="21"/>
          <w:u w:val="single"/>
        </w:rPr>
      </w:pPr>
      <w:r>
        <w:rPr>
          <w:rFonts w:hint="eastAsia" w:ascii="宋体" w:hAnsi="宋体"/>
          <w:bCs/>
          <w:sz w:val="21"/>
          <w:szCs w:val="21"/>
          <w:u w:val="single"/>
        </w:rPr>
        <w:t>（1）本工程结算价款以审计单位的审定价为准。</w:t>
      </w:r>
      <w:bookmarkEnd w:id="167"/>
    </w:p>
    <w:p>
      <w:pPr>
        <w:pageBreakBefore w:val="0"/>
        <w:kinsoku/>
        <w:wordWrap w:val="0"/>
        <w:overflowPunct/>
        <w:topLinePunct/>
        <w:autoSpaceDE/>
        <w:autoSpaceDN/>
        <w:bidi w:val="0"/>
        <w:ind w:firstLine="420" w:firstLineChars="200"/>
        <w:textAlignment w:val="auto"/>
        <w:rPr>
          <w:rFonts w:hint="eastAsia" w:ascii="宋体" w:hAnsi="宋体"/>
          <w:bCs/>
          <w:sz w:val="21"/>
          <w:szCs w:val="21"/>
          <w:u w:val="single"/>
        </w:rPr>
      </w:pPr>
      <w:bookmarkStart w:id="168" w:name="_Toc455135576"/>
      <w:r>
        <w:rPr>
          <w:rFonts w:hint="eastAsia" w:ascii="宋体" w:hAnsi="宋体"/>
          <w:bCs/>
          <w:sz w:val="21"/>
          <w:szCs w:val="21"/>
          <w:u w:val="single"/>
        </w:rPr>
        <w:t>（2）</w:t>
      </w:r>
      <w:bookmarkEnd w:id="168"/>
      <w:r>
        <w:rPr>
          <w:rFonts w:hint="eastAsia" w:ascii="宋体" w:hAnsi="宋体"/>
          <w:bCs/>
          <w:sz w:val="21"/>
          <w:szCs w:val="21"/>
          <w:u w:val="single"/>
        </w:rPr>
        <w:t>关于结算审核费：该工程的核减率应控制在8%内（含8%）；12%≥核减率＞8%时，该工程所有审核费用承发包双方各承担50%；核减率＞12%时，该工程所有审核费用均由承包人承担。上述费用不为累进制。</w:t>
      </w:r>
    </w:p>
    <w:p>
      <w:pPr>
        <w:pageBreakBefore w:val="0"/>
        <w:kinsoku/>
        <w:wordWrap w:val="0"/>
        <w:overflowPunct/>
        <w:topLinePunct/>
        <w:autoSpaceDE/>
        <w:autoSpaceDN/>
        <w:bidi w:val="0"/>
        <w:textAlignment w:val="auto"/>
        <w:rPr>
          <w:rFonts w:hint="eastAsia" w:ascii="宋体" w:hAnsi="宋体"/>
          <w:bCs/>
          <w:sz w:val="21"/>
          <w:szCs w:val="21"/>
          <w:u w:val="single"/>
        </w:rPr>
      </w:pPr>
      <w:r>
        <w:rPr>
          <w:rFonts w:hint="eastAsia" w:ascii="宋体" w:hAnsi="宋体"/>
          <w:sz w:val="21"/>
          <w:szCs w:val="21"/>
          <w:u w:val="single"/>
        </w:rPr>
        <w:t>4、本合同中所涉</w:t>
      </w:r>
      <w:r>
        <w:rPr>
          <w:rFonts w:hint="eastAsia" w:ascii="宋体" w:hAnsi="宋体"/>
          <w:bCs/>
          <w:sz w:val="21"/>
          <w:szCs w:val="21"/>
          <w:u w:val="single"/>
        </w:rPr>
        <w:t>及的违约金均于同期工程款中予以扣除。</w:t>
      </w:r>
    </w:p>
    <w:p>
      <w:pPr>
        <w:pageBreakBefore w:val="0"/>
        <w:kinsoku/>
        <w:wordWrap w:val="0"/>
        <w:overflowPunct/>
        <w:topLinePunct/>
        <w:autoSpaceDE/>
        <w:autoSpaceDN/>
        <w:bidi w:val="0"/>
        <w:textAlignment w:val="auto"/>
        <w:rPr>
          <w:rFonts w:hint="eastAsia" w:ascii="宋体" w:hAnsi="宋体"/>
          <w:bCs/>
          <w:sz w:val="21"/>
          <w:szCs w:val="21"/>
          <w:u w:val="single"/>
        </w:rPr>
      </w:pPr>
      <w:bookmarkStart w:id="169" w:name="_Toc455135582"/>
      <w:r>
        <w:rPr>
          <w:rFonts w:hint="eastAsia" w:ascii="宋体" w:hAnsi="宋体"/>
          <w:bCs/>
          <w:sz w:val="21"/>
          <w:szCs w:val="21"/>
          <w:u w:val="single"/>
        </w:rPr>
        <w:t>5、其他未尽事项，按照直政发</w:t>
      </w:r>
      <w:r>
        <w:rPr>
          <w:rFonts w:hint="eastAsia" w:ascii="宋体" w:hAnsi="宋体"/>
          <w:bCs/>
          <w:sz w:val="21"/>
          <w:szCs w:val="21"/>
          <w:u w:val="single"/>
          <w:lang w:eastAsia="zh-CN"/>
        </w:rPr>
        <w:t>【2021】20</w:t>
      </w:r>
      <w:r>
        <w:rPr>
          <w:rFonts w:hint="eastAsia" w:ascii="宋体" w:hAnsi="宋体"/>
          <w:bCs/>
          <w:sz w:val="21"/>
          <w:szCs w:val="21"/>
          <w:u w:val="single"/>
        </w:rPr>
        <w:t>号文或双方另行协商决定 。</w:t>
      </w:r>
      <w:bookmarkEnd w:id="169"/>
      <w:r>
        <w:rPr>
          <w:rFonts w:hint="eastAsia" w:ascii="宋体" w:hAnsi="宋体"/>
          <w:bCs/>
          <w:sz w:val="21"/>
          <w:szCs w:val="21"/>
          <w:u w:val="single"/>
        </w:rPr>
        <w:t xml:space="preserve">  </w:t>
      </w:r>
    </w:p>
    <w:bookmarkEnd w:id="121"/>
    <w:p>
      <w:pPr>
        <w:pageBreakBefore w:val="0"/>
        <w:kinsoku/>
        <w:wordWrap w:val="0"/>
        <w:overflowPunct/>
        <w:topLinePunct/>
        <w:autoSpaceDE/>
        <w:autoSpaceDN/>
        <w:bidi w:val="0"/>
        <w:textAlignment w:val="auto"/>
        <w:rPr>
          <w:sz w:val="21"/>
          <w:szCs w:val="21"/>
        </w:rPr>
      </w:pPr>
      <w:r>
        <w:rPr>
          <w:rFonts w:hint="eastAsia"/>
          <w:sz w:val="21"/>
          <w:szCs w:val="21"/>
        </w:rPr>
        <w:br w:type="page"/>
      </w:r>
      <w:r>
        <w:rPr>
          <w:rFonts w:hint="eastAsia"/>
          <w:sz w:val="21"/>
          <w:szCs w:val="21"/>
        </w:rPr>
        <w:t>附件</w:t>
      </w:r>
      <w:r>
        <w:rPr>
          <w:sz w:val="21"/>
          <w:szCs w:val="21"/>
        </w:rPr>
        <w:t>1</w:t>
      </w:r>
      <w:r>
        <w:rPr>
          <w:rFonts w:hint="eastAsia"/>
          <w:sz w:val="21"/>
          <w:szCs w:val="21"/>
        </w:rPr>
        <w:t>：</w:t>
      </w:r>
    </w:p>
    <w:p>
      <w:pPr>
        <w:pageBreakBefore w:val="0"/>
        <w:kinsoku/>
        <w:wordWrap w:val="0"/>
        <w:overflowPunct/>
        <w:topLinePunct/>
        <w:autoSpaceDE/>
        <w:autoSpaceDN/>
        <w:bidi w:val="0"/>
        <w:textAlignment w:val="auto"/>
        <w:rPr>
          <w:rFonts w:ascii="宋体" w:hAnsi="宋体"/>
          <w:b/>
          <w:sz w:val="21"/>
          <w:szCs w:val="21"/>
        </w:rPr>
      </w:pPr>
      <w:r>
        <w:rPr>
          <w:rFonts w:hint="eastAsia" w:ascii="宋体" w:hAnsi="宋体"/>
          <w:b/>
          <w:sz w:val="21"/>
          <w:szCs w:val="21"/>
        </w:rPr>
        <w:t xml:space="preserve">                       工程质量保修书</w:t>
      </w:r>
    </w:p>
    <w:p>
      <w:pPr>
        <w:pageBreakBefore w:val="0"/>
        <w:kinsoku/>
        <w:wordWrap w:val="0"/>
        <w:overflowPunct/>
        <w:topLinePunct/>
        <w:autoSpaceDE/>
        <w:autoSpaceDN/>
        <w:bidi w:val="0"/>
        <w:ind w:firstLine="420" w:firstLineChars="200"/>
        <w:textAlignment w:val="auto"/>
        <w:rPr>
          <w:rFonts w:ascii="宋体" w:hAnsi="宋体" w:cs="宋体"/>
          <w:sz w:val="21"/>
          <w:szCs w:val="21"/>
        </w:rPr>
      </w:pPr>
      <w:r>
        <w:rPr>
          <w:rFonts w:hint="eastAsia" w:ascii="宋体" w:hAnsi="宋体" w:cs="宋体"/>
          <w:sz w:val="21"/>
          <w:szCs w:val="21"/>
        </w:rPr>
        <w:t>发包人(全称)：</w:t>
      </w:r>
      <w:r>
        <w:rPr>
          <w:rFonts w:hint="eastAsia" w:ascii="宋体" w:hAnsi="宋体" w:cs="宋体"/>
          <w:sz w:val="21"/>
          <w:szCs w:val="21"/>
          <w:u w:val="single"/>
        </w:rPr>
        <w:t xml:space="preserve">常州市金坛区直溪镇人民政府 </w:t>
      </w:r>
      <w:r>
        <w:rPr>
          <w:rFonts w:hint="eastAsia" w:hAnsi="宋体"/>
          <w:sz w:val="21"/>
          <w:szCs w:val="21"/>
        </w:rPr>
        <w:t xml:space="preserve">   </w:t>
      </w:r>
    </w:p>
    <w:p>
      <w:pPr>
        <w:pStyle w:val="13"/>
        <w:pageBreakBefore w:val="0"/>
        <w:kinsoku/>
        <w:wordWrap w:val="0"/>
        <w:overflowPunct/>
        <w:topLinePunct/>
        <w:autoSpaceDE/>
        <w:autoSpaceDN/>
        <w:bidi w:val="0"/>
        <w:ind w:firstLine="480"/>
        <w:textAlignment w:val="auto"/>
        <w:rPr>
          <w:rFonts w:hAnsi="宋体"/>
          <w:szCs w:val="21"/>
          <w:u w:val="single"/>
        </w:rPr>
      </w:pPr>
      <w:r>
        <w:rPr>
          <w:rFonts w:hint="eastAsia" w:hAnsi="宋体"/>
          <w:szCs w:val="21"/>
        </w:rPr>
        <w:t>承包人（全称）：</w:t>
      </w:r>
      <w:r>
        <w:rPr>
          <w:rFonts w:hint="eastAsia" w:hAnsi="宋体"/>
          <w:b/>
          <w:bCs/>
          <w:szCs w:val="21"/>
          <w:u w:val="single"/>
        </w:rPr>
        <w:t xml:space="preserve"> </w:t>
      </w:r>
      <w:r>
        <w:rPr>
          <w:rFonts w:hint="eastAsia" w:hAnsi="宋体"/>
          <w:b/>
          <w:szCs w:val="21"/>
          <w:u w:val="single"/>
        </w:rPr>
        <w:t xml:space="preserve">               </w:t>
      </w:r>
      <w:r>
        <w:rPr>
          <w:rFonts w:hint="eastAsia" w:hAnsi="宋体"/>
          <w:szCs w:val="21"/>
          <w:u w:val="single"/>
        </w:rPr>
        <w:t xml:space="preserve">            </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为保证</w:t>
      </w:r>
      <w:r>
        <w:rPr>
          <w:rFonts w:hint="eastAsia" w:hAnsi="宋体" w:cs="宋体"/>
          <w:bCs/>
          <w:kern w:val="0"/>
          <w:szCs w:val="21"/>
          <w:u w:val="single"/>
          <w:lang w:eastAsia="zh-CN"/>
        </w:rPr>
        <w:t>常州市金坛区直溪集镇城管中队西侧地块休闲游园新建工程</w:t>
      </w:r>
      <w:r>
        <w:rPr>
          <w:rFonts w:hint="eastAsia" w:hAnsi="宋体"/>
          <w:szCs w:val="21"/>
        </w:rPr>
        <w:t>（工程名称）在合理使用期限内正常使用，发包人承包人协商一致签订工程质量保修书。承包人在质量保修期内按照有关管理规定及双方约定承担工程质量保修责任。</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一、工程质量保修范围和内容</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质量保修范围包括工程量清单范围内的所有工程，具体质量保修内容双方约定如下：</w:t>
      </w:r>
      <w:r>
        <w:rPr>
          <w:rFonts w:hint="eastAsia" w:hAnsi="宋体"/>
          <w:szCs w:val="21"/>
          <w:u w:val="single"/>
        </w:rPr>
        <w:t xml:space="preserve"> </w:t>
      </w:r>
      <w:r>
        <w:rPr>
          <w:rFonts w:hint="eastAsia" w:hAnsi="宋体"/>
          <w:b/>
          <w:szCs w:val="21"/>
          <w:u w:val="single"/>
        </w:rPr>
        <w:t>按现行国家有关法律、法规规定的承包人所有承包范围内项目工程质量缺陷。</w:t>
      </w:r>
      <w:r>
        <w:rPr>
          <w:rFonts w:hint="eastAsia" w:hAnsi="宋体"/>
          <w:szCs w:val="21"/>
        </w:rPr>
        <w:t xml:space="preserve">                                                                                                                         </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二、质量保修期</w:t>
      </w:r>
    </w:p>
    <w:p>
      <w:pPr>
        <w:pageBreakBefore w:val="0"/>
        <w:widowControl w:val="0"/>
        <w:kinsoku/>
        <w:wordWrap w:val="0"/>
        <w:overflowPunct/>
        <w:topLinePunct/>
        <w:autoSpaceDE/>
        <w:autoSpaceDN/>
        <w:bidi w:val="0"/>
        <w:ind w:firstLine="420" w:firstLineChars="200"/>
        <w:textAlignment w:val="auto"/>
        <w:rPr>
          <w:rFonts w:ascii="宋体" w:hAnsi="宋体"/>
          <w:sz w:val="21"/>
          <w:szCs w:val="21"/>
        </w:rPr>
      </w:pPr>
      <w:r>
        <w:rPr>
          <w:rFonts w:ascii="宋体" w:hAnsi="宋体"/>
          <w:sz w:val="21"/>
          <w:szCs w:val="21"/>
        </w:rPr>
        <w:t>根据《建设工程质量管理条例》及有关规定，工程的质量保修期如下：</w:t>
      </w:r>
      <w:r>
        <w:rPr>
          <w:rFonts w:hint="eastAsia" w:hAnsi="宋体"/>
          <w:szCs w:val="21"/>
          <w:u w:val="single"/>
        </w:rPr>
        <w:t xml:space="preserve">本工程质保期为2年   </w:t>
      </w:r>
      <w:r>
        <w:rPr>
          <w:rFonts w:hint="eastAsia" w:hAnsi="宋体"/>
          <w:szCs w:val="21"/>
        </w:rPr>
        <w:t>；</w:t>
      </w:r>
      <w:r>
        <w:rPr>
          <w:rFonts w:ascii="宋体" w:hAnsi="宋体"/>
          <w:sz w:val="21"/>
          <w:szCs w:val="21"/>
        </w:rPr>
        <w:t>质量保修期自工程竣工验收合格之日起计算。</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三、质量保修责任</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l、属于保修范围和内容的项目，承包人应在接到修理通知之日后7天内派人修理。承包人不在约定期限内派人修理，发包人可委托其他人员修理，保修费用从质量保修金内扣除。</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2、发生须紧急抢修事故，承包人接到事故通知后，应立即到达事故现场抢修。非承包人施工质量引起的事故，抢修费用由发包人承担。</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3、在国家规定的工程合理使用期限内，承包人确保工程的质量。因承包人原因致使工程在合理使用期限内造成人身和财产损害的，承包人应承担损喜赔偿责任。</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四、质量保修金的支付</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w:t>
      </w:r>
      <w:r>
        <w:rPr>
          <w:rFonts w:hint="eastAsia" w:hAnsi="宋体"/>
          <w:szCs w:val="21"/>
          <w:u w:val="single"/>
        </w:rPr>
        <w:t>质量保修金约定：①质量保修金为审定价的3%；②发包人在保修期结束后付清质量保修金（无息）</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五、质量保修金的返还</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发包人在质量保修期满后14天内。将剩余保修金返还承包人（无息）。</w:t>
      </w:r>
    </w:p>
    <w:p>
      <w:pPr>
        <w:pStyle w:val="13"/>
        <w:pageBreakBefore w:val="0"/>
        <w:kinsoku/>
        <w:wordWrap w:val="0"/>
        <w:overflowPunct/>
        <w:topLinePunct/>
        <w:autoSpaceDE/>
        <w:autoSpaceDN/>
        <w:bidi w:val="0"/>
        <w:textAlignment w:val="auto"/>
        <w:rPr>
          <w:rFonts w:hAnsi="宋体"/>
          <w:szCs w:val="21"/>
        </w:rPr>
      </w:pPr>
      <w:r>
        <w:rPr>
          <w:rFonts w:hint="eastAsia" w:hAnsi="宋体"/>
          <w:szCs w:val="21"/>
        </w:rPr>
        <w:t xml:space="preserve">    六、其他</w:t>
      </w:r>
    </w:p>
    <w:p>
      <w:pPr>
        <w:pageBreakBefore w:val="0"/>
        <w:kinsoku/>
        <w:wordWrap w:val="0"/>
        <w:overflowPunct/>
        <w:topLinePunct/>
        <w:autoSpaceDE/>
        <w:autoSpaceDN/>
        <w:bidi w:val="0"/>
        <w:ind w:firstLine="480"/>
        <w:textAlignment w:val="auto"/>
        <w:rPr>
          <w:rFonts w:ascii="宋体" w:hAnsi="宋体"/>
          <w:sz w:val="21"/>
          <w:szCs w:val="21"/>
        </w:rPr>
      </w:pPr>
      <w:r>
        <w:rPr>
          <w:rFonts w:hint="eastAsia" w:hAnsi="宋体"/>
          <w:sz w:val="21"/>
          <w:szCs w:val="21"/>
        </w:rPr>
        <w:t>双方约定的其他工程质量保修事项：</w:t>
      </w:r>
      <w:r>
        <w:rPr>
          <w:rFonts w:hint="eastAsia" w:ascii="宋体" w:hAnsi="宋体"/>
          <w:sz w:val="21"/>
          <w:szCs w:val="21"/>
          <w:u w:val="single"/>
        </w:rPr>
        <w:t>建设工程实行质量保证金制度，缺陷责任期内，由承包人原因造成的缺陷，承包人应负责维修，并承担鉴定及维修费用。如承包人不维修也不承担费用，由相关单位组织专业人员进行维修，并由承包人承担违约责任。承包人维修并承担相应费用后，不免除对工程的一般损失赔偿责任。由他人原因造成的缺陷，建设单位负责组织维修，承包人不承担费用。</w:t>
      </w:r>
    </w:p>
    <w:p>
      <w:pPr>
        <w:pStyle w:val="13"/>
        <w:pageBreakBefore w:val="0"/>
        <w:kinsoku/>
        <w:wordWrap w:val="0"/>
        <w:overflowPunct/>
        <w:topLinePunct/>
        <w:autoSpaceDE/>
        <w:autoSpaceDN/>
        <w:bidi w:val="0"/>
        <w:ind w:firstLine="400" w:firstLineChars="200"/>
        <w:textAlignment w:val="auto"/>
        <w:rPr>
          <w:rFonts w:hAnsi="宋体"/>
          <w:szCs w:val="21"/>
        </w:rPr>
      </w:pPr>
      <w:r>
        <w:rPr>
          <w:rFonts w:hint="eastAsia" w:hAnsi="宋体"/>
          <w:szCs w:val="21"/>
        </w:rPr>
        <w:t>七、本工程质量保修书作为施工合同附件．与施工合同具有同等效力。</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发包人：　　(公章)                          承包人：　　(公章)</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法定代表人或其委托代理人：(签字)            法定代表人或其委托代理人：(签字)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地　　址：                              </w:t>
      </w:r>
      <w:r>
        <w:rPr>
          <w:rFonts w:ascii="宋体" w:hAnsi="宋体" w:cs="宋体"/>
          <w:sz w:val="21"/>
          <w:szCs w:val="21"/>
        </w:rPr>
        <w:t xml:space="preserve">    </w:t>
      </w:r>
      <w:r>
        <w:rPr>
          <w:rFonts w:hint="eastAsia" w:ascii="宋体" w:hAnsi="宋体" w:cs="宋体"/>
          <w:sz w:val="21"/>
          <w:szCs w:val="21"/>
        </w:rPr>
        <w:t>地　　址：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邮政编码： 　                         </w:t>
      </w:r>
      <w:r>
        <w:rPr>
          <w:rFonts w:ascii="宋体" w:hAnsi="宋体" w:cs="宋体"/>
          <w:sz w:val="21"/>
          <w:szCs w:val="21"/>
        </w:rPr>
        <w:t xml:space="preserve">      </w:t>
      </w:r>
      <w:r>
        <w:rPr>
          <w:rFonts w:hint="eastAsia" w:ascii="宋体" w:hAnsi="宋体" w:cs="宋体"/>
          <w:sz w:val="21"/>
          <w:szCs w:val="21"/>
        </w:rPr>
        <w:t>邮政编码：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电　　话：                             </w:t>
      </w:r>
      <w:r>
        <w:rPr>
          <w:rFonts w:ascii="宋体" w:hAnsi="宋体" w:cs="宋体"/>
          <w:sz w:val="21"/>
          <w:szCs w:val="21"/>
        </w:rPr>
        <w:t xml:space="preserve">     </w:t>
      </w:r>
      <w:r>
        <w:rPr>
          <w:rFonts w:hint="eastAsia" w:ascii="宋体" w:hAnsi="宋体" w:cs="宋体"/>
          <w:sz w:val="21"/>
          <w:szCs w:val="21"/>
        </w:rPr>
        <w:t>电　　话：                       　</w:t>
      </w:r>
    </w:p>
    <w:p>
      <w:pPr>
        <w:pageBreakBefore w:val="0"/>
        <w:kinsoku/>
        <w:wordWrap w:val="0"/>
        <w:overflowPunct/>
        <w:topLinePunct/>
        <w:autoSpaceDE/>
        <w:autoSpaceDN/>
        <w:bidi w:val="0"/>
        <w:textAlignment w:val="auto"/>
        <w:rPr>
          <w:rFonts w:hint="eastAsia" w:ascii="宋体" w:hAnsi="宋体"/>
          <w:sz w:val="21"/>
          <w:szCs w:val="21"/>
        </w:rPr>
      </w:pPr>
      <w:r>
        <w:rPr>
          <w:rFonts w:hint="eastAsia" w:ascii="宋体" w:hAnsi="宋体" w:cs="宋体"/>
          <w:sz w:val="21"/>
          <w:szCs w:val="21"/>
        </w:rPr>
        <w:t xml:space="preserve">开户银行：                            </w:t>
      </w:r>
      <w:r>
        <w:rPr>
          <w:rFonts w:ascii="宋体" w:hAnsi="宋体" w:cs="宋体"/>
          <w:sz w:val="21"/>
          <w:szCs w:val="21"/>
        </w:rPr>
        <w:t xml:space="preserve">      </w:t>
      </w:r>
      <w:r>
        <w:rPr>
          <w:rFonts w:hint="eastAsia" w:ascii="宋体" w:hAnsi="宋体" w:cs="宋体"/>
          <w:sz w:val="21"/>
          <w:szCs w:val="21"/>
        </w:rPr>
        <w:t xml:space="preserve">开户银行：                       　                                        </w:t>
      </w:r>
    </w:p>
    <w:p>
      <w:pPr>
        <w:pageBreakBefore w:val="0"/>
        <w:kinsoku/>
        <w:wordWrap w:val="0"/>
        <w:overflowPunct/>
        <w:topLinePunct/>
        <w:autoSpaceDE/>
        <w:autoSpaceDN/>
        <w:bidi w:val="0"/>
        <w:textAlignment w:val="auto"/>
        <w:rPr>
          <w:rFonts w:hint="eastAsia" w:ascii="宋体" w:hAnsi="宋体" w:cs="宋体"/>
          <w:sz w:val="21"/>
          <w:szCs w:val="21"/>
        </w:rPr>
      </w:pPr>
      <w:r>
        <w:rPr>
          <w:rFonts w:hint="eastAsia" w:ascii="宋体" w:hAnsi="宋体" w:cs="宋体"/>
          <w:sz w:val="21"/>
          <w:szCs w:val="21"/>
        </w:rPr>
        <w:t xml:space="preserve">账　　号：                            </w:t>
      </w:r>
      <w:r>
        <w:rPr>
          <w:rFonts w:ascii="宋体" w:hAnsi="宋体" w:cs="宋体"/>
          <w:sz w:val="21"/>
          <w:szCs w:val="21"/>
        </w:rPr>
        <w:t xml:space="preserve">      </w:t>
      </w:r>
      <w:r>
        <w:rPr>
          <w:rFonts w:hint="eastAsia" w:ascii="宋体" w:hAnsi="宋体" w:cs="宋体"/>
          <w:sz w:val="21"/>
          <w:szCs w:val="21"/>
        </w:rPr>
        <w:t xml:space="preserve">账　　号：                       　    </w:t>
      </w: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ageBreakBefore w:val="0"/>
        <w:kinsoku/>
        <w:wordWrap w:val="0"/>
        <w:overflowPunct/>
        <w:topLinePunct/>
        <w:autoSpaceDE/>
        <w:autoSpaceDN/>
        <w:bidi w:val="0"/>
        <w:spacing w:line="320" w:lineRule="exact"/>
        <w:textAlignment w:val="auto"/>
        <w:rPr>
          <w:rFonts w:ascii="宋体" w:hAnsi="宋体"/>
          <w:sz w:val="21"/>
          <w:szCs w:val="21"/>
          <w:u w:val="single"/>
        </w:rPr>
      </w:pPr>
    </w:p>
    <w:p>
      <w:pPr>
        <w:pStyle w:val="30"/>
        <w:pageBreakBefore w:val="0"/>
        <w:kinsoku/>
        <w:wordWrap w:val="0"/>
        <w:overflowPunct/>
        <w:topLinePunct/>
        <w:autoSpaceDE/>
        <w:autoSpaceDN/>
        <w:bidi w:val="0"/>
        <w:textAlignment w:val="auto"/>
        <w:rPr>
          <w:rFonts w:ascii="宋体" w:hAnsi="宋体"/>
          <w:sz w:val="21"/>
          <w:szCs w:val="21"/>
          <w:u w:val="single"/>
        </w:rPr>
      </w:pPr>
    </w:p>
    <w:p>
      <w:pPr>
        <w:pageBreakBefore w:val="0"/>
        <w:kinsoku/>
        <w:wordWrap w:val="0"/>
        <w:overflowPunct/>
        <w:topLinePunct/>
        <w:autoSpaceDE/>
        <w:autoSpaceDN/>
        <w:bidi w:val="0"/>
        <w:textAlignment w:val="auto"/>
        <w:rPr>
          <w:rFonts w:hint="eastAsia" w:ascii="宋体" w:hAnsi="宋体"/>
          <w:b/>
          <w:sz w:val="28"/>
          <w:szCs w:val="28"/>
        </w:rPr>
      </w:pPr>
      <w:r>
        <w:rPr>
          <w:rFonts w:hint="eastAsia" w:ascii="宋体" w:hAnsi="宋体"/>
        </w:rPr>
        <w:t xml:space="preserve">附件3：              </w:t>
      </w:r>
      <w:r>
        <w:rPr>
          <w:rFonts w:hint="eastAsia" w:ascii="宋体" w:hAnsi="宋体"/>
          <w:b/>
          <w:sz w:val="28"/>
          <w:szCs w:val="28"/>
        </w:rPr>
        <w:t xml:space="preserve">       承包人承诺</w:t>
      </w:r>
    </w:p>
    <w:p>
      <w:pPr>
        <w:pageBreakBefore w:val="0"/>
        <w:kinsoku/>
        <w:wordWrap w:val="0"/>
        <w:overflowPunct/>
        <w:topLinePunct/>
        <w:autoSpaceDE/>
        <w:autoSpaceDN/>
        <w:bidi w:val="0"/>
        <w:textAlignment w:val="auto"/>
        <w:rPr>
          <w:rFonts w:hint="eastAsia" w:ascii="宋体" w:hAnsi="宋体"/>
          <w:b/>
          <w:sz w:val="28"/>
          <w:szCs w:val="28"/>
        </w:rPr>
      </w:pPr>
    </w:p>
    <w:p>
      <w:pPr>
        <w:pageBreakBefore w:val="0"/>
        <w:kinsoku/>
        <w:wordWrap w:val="0"/>
        <w:overflowPunct/>
        <w:topLinePunct/>
        <w:autoSpaceDE/>
        <w:autoSpaceDN/>
        <w:bidi w:val="0"/>
        <w:snapToGrid w:val="0"/>
        <w:spacing w:line="360" w:lineRule="auto"/>
        <w:textAlignment w:val="auto"/>
        <w:rPr>
          <w:rFonts w:hint="eastAsia"/>
          <w:sz w:val="21"/>
          <w:szCs w:val="21"/>
        </w:rPr>
      </w:pPr>
      <w:r>
        <w:rPr>
          <w:b/>
          <w:sz w:val="21"/>
          <w:szCs w:val="21"/>
        </w:rPr>
        <w:t xml:space="preserve"> </w:t>
      </w:r>
    </w:p>
    <w:p>
      <w:pPr>
        <w:pageBreakBefore w:val="0"/>
        <w:kinsoku/>
        <w:wordWrap w:val="0"/>
        <w:overflowPunct/>
        <w:topLinePunct/>
        <w:autoSpaceDE/>
        <w:autoSpaceDN/>
        <w:bidi w:val="0"/>
        <w:snapToGrid w:val="0"/>
        <w:spacing w:line="360" w:lineRule="auto"/>
        <w:textAlignment w:val="auto"/>
        <w:rPr>
          <w:rFonts w:ascii="宋体"/>
          <w:sz w:val="21"/>
          <w:szCs w:val="21"/>
        </w:rPr>
      </w:pPr>
      <w:r>
        <w:rPr>
          <w:rFonts w:hint="eastAsia" w:ascii="宋体"/>
          <w:b/>
          <w:sz w:val="21"/>
          <w:szCs w:val="21"/>
        </w:rPr>
        <w:t>致：</w:t>
      </w:r>
      <w:r>
        <w:rPr>
          <w:sz w:val="21"/>
          <w:szCs w:val="21"/>
        </w:rPr>
        <w:t xml:space="preserve">  </w:t>
      </w:r>
      <w:r>
        <w:rPr>
          <w:sz w:val="21"/>
          <w:szCs w:val="21"/>
          <w:u w:val="single"/>
        </w:rPr>
        <w:t xml:space="preserve">                                            </w:t>
      </w:r>
      <w:r>
        <w:rPr>
          <w:rFonts w:hint="eastAsia" w:hAnsi="宋体"/>
          <w:sz w:val="21"/>
          <w:szCs w:val="21"/>
        </w:rPr>
        <w:t>（发包人全称）</w:t>
      </w:r>
      <w:r>
        <w:rPr>
          <w:rFonts w:hint="eastAsia" w:ascii="宋体"/>
          <w:sz w:val="21"/>
          <w:szCs w:val="21"/>
        </w:rPr>
        <w:t>：</w:t>
      </w:r>
    </w:p>
    <w:p>
      <w:pPr>
        <w:pageBreakBefore w:val="0"/>
        <w:kinsoku/>
        <w:wordWrap w:val="0"/>
        <w:overflowPunct/>
        <w:topLinePunct/>
        <w:autoSpaceDE/>
        <w:autoSpaceDN/>
        <w:bidi w:val="0"/>
        <w:snapToGrid w:val="0"/>
        <w:spacing w:line="360" w:lineRule="auto"/>
        <w:ind w:firstLine="420"/>
        <w:textAlignment w:val="auto"/>
        <w:rPr>
          <w:rFonts w:hint="eastAsia"/>
          <w:sz w:val="21"/>
          <w:szCs w:val="21"/>
        </w:rPr>
      </w:pPr>
      <w:r>
        <w:rPr>
          <w:rFonts w:hint="eastAsia"/>
          <w:sz w:val="21"/>
          <w:szCs w:val="21"/>
        </w:rPr>
        <w:t>我方承诺：若我方中标，我方保证不拖欠农民工工资，并将结算价款的</w:t>
      </w:r>
      <w:r>
        <w:rPr>
          <w:sz w:val="21"/>
          <w:szCs w:val="21"/>
        </w:rPr>
        <w:t>2</w:t>
      </w:r>
      <w:r>
        <w:rPr>
          <w:rFonts w:hint="eastAsia"/>
          <w:sz w:val="21"/>
          <w:szCs w:val="21"/>
        </w:rPr>
        <w:t>％作为不拖欠农民工工资的保证金，由发包人根据农民工工资的支付情况决定在下次工程款支付中是否支付。如违反承诺，我方同意你方直接从保证金中支付。</w:t>
      </w:r>
    </w:p>
    <w:p>
      <w:pPr>
        <w:pageBreakBefore w:val="0"/>
        <w:kinsoku/>
        <w:wordWrap w:val="0"/>
        <w:overflowPunct/>
        <w:topLinePunct/>
        <w:autoSpaceDE/>
        <w:autoSpaceDN/>
        <w:bidi w:val="0"/>
        <w:snapToGrid w:val="0"/>
        <w:spacing w:line="360" w:lineRule="auto"/>
        <w:ind w:firstLine="4830" w:firstLineChars="2300"/>
        <w:textAlignment w:val="auto"/>
        <w:rPr>
          <w:sz w:val="21"/>
          <w:szCs w:val="21"/>
        </w:rPr>
      </w:pPr>
      <w:r>
        <w:rPr>
          <w:sz w:val="21"/>
          <w:szCs w:val="21"/>
        </w:rPr>
        <w:t xml:space="preserve"> </w:t>
      </w:r>
    </w:p>
    <w:p>
      <w:pPr>
        <w:pageBreakBefore w:val="0"/>
        <w:kinsoku/>
        <w:wordWrap w:val="0"/>
        <w:overflowPunct/>
        <w:topLinePunct/>
        <w:autoSpaceDE/>
        <w:autoSpaceDN/>
        <w:bidi w:val="0"/>
        <w:spacing w:line="360" w:lineRule="auto"/>
        <w:ind w:firstLine="420" w:firstLineChars="200"/>
        <w:textAlignment w:val="auto"/>
        <w:rPr>
          <w:rFonts w:ascii="宋体" w:hAnsi="宋体"/>
          <w:sz w:val="21"/>
          <w:szCs w:val="21"/>
        </w:rPr>
      </w:pPr>
    </w:p>
    <w:p>
      <w:pPr>
        <w:pageBreakBefore w:val="0"/>
        <w:kinsoku/>
        <w:wordWrap w:val="0"/>
        <w:overflowPunct/>
        <w:topLinePunct/>
        <w:autoSpaceDE/>
        <w:autoSpaceDN/>
        <w:bidi w:val="0"/>
        <w:spacing w:line="360" w:lineRule="auto"/>
        <w:ind w:firstLine="420" w:firstLineChars="200"/>
        <w:textAlignment w:val="auto"/>
        <w:rPr>
          <w:rFonts w:hint="eastAsia" w:ascii="宋体" w:hAnsi="宋体"/>
          <w:sz w:val="21"/>
          <w:szCs w:val="21"/>
        </w:rPr>
      </w:pP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r>
        <w:rPr>
          <w:rFonts w:hint="eastAsia" w:ascii="宋体" w:hAnsi="宋体"/>
          <w:kern w:val="2"/>
          <w:sz w:val="21"/>
          <w:szCs w:val="21"/>
        </w:rPr>
        <w:t>特此承诺！</w:t>
      </w:r>
    </w:p>
    <w:p>
      <w:pPr>
        <w:pageBreakBefore w:val="0"/>
        <w:kinsoku/>
        <w:wordWrap w:val="0"/>
        <w:overflowPunct/>
        <w:topLinePunct/>
        <w:autoSpaceDE/>
        <w:autoSpaceDN/>
        <w:bidi w:val="0"/>
        <w:spacing w:line="360" w:lineRule="auto"/>
        <w:ind w:firstLine="420" w:firstLineChars="200"/>
        <w:textAlignment w:val="auto"/>
        <w:rPr>
          <w:rFonts w:hint="eastAsia" w:ascii="宋体" w:hAnsi="宋体"/>
          <w:sz w:val="21"/>
          <w:szCs w:val="21"/>
        </w:rPr>
      </w:pP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r>
        <w:rPr>
          <w:rFonts w:hint="eastAsia" w:ascii="宋体" w:hAnsi="宋体"/>
          <w:kern w:val="2"/>
          <w:sz w:val="21"/>
          <w:szCs w:val="21"/>
        </w:rPr>
        <w:t>承包 人：                           （盖单位章）</w:t>
      </w: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r>
        <w:rPr>
          <w:rFonts w:hint="eastAsia" w:ascii="宋体" w:hAnsi="宋体"/>
          <w:kern w:val="2"/>
          <w:sz w:val="21"/>
          <w:szCs w:val="21"/>
        </w:rPr>
        <w:t>法定代表人或其委托代理人：               （签字）</w:t>
      </w: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r>
        <w:rPr>
          <w:rFonts w:hint="eastAsia" w:ascii="宋体" w:hAnsi="宋体"/>
          <w:kern w:val="2"/>
          <w:sz w:val="21"/>
          <w:szCs w:val="21"/>
        </w:rPr>
        <w:t xml:space="preserve">地    址：                                      </w:t>
      </w: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r>
        <w:rPr>
          <w:rFonts w:hint="eastAsia" w:ascii="宋体" w:hAnsi="宋体"/>
          <w:kern w:val="2"/>
          <w:sz w:val="21"/>
          <w:szCs w:val="21"/>
        </w:rPr>
        <w:t xml:space="preserve">邮政编码：                                      </w:t>
      </w: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r>
        <w:rPr>
          <w:rFonts w:hint="eastAsia" w:ascii="宋体" w:hAnsi="宋体"/>
          <w:kern w:val="2"/>
          <w:sz w:val="21"/>
          <w:szCs w:val="21"/>
        </w:rPr>
        <w:t xml:space="preserve">电    话：                                      </w:t>
      </w: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r>
        <w:rPr>
          <w:rFonts w:hint="eastAsia" w:ascii="宋体" w:hAnsi="宋体"/>
          <w:kern w:val="2"/>
          <w:sz w:val="21"/>
          <w:szCs w:val="21"/>
        </w:rPr>
        <w:t xml:space="preserve">传    真：                                      </w:t>
      </w:r>
    </w:p>
    <w:p>
      <w:pPr>
        <w:pageBreakBefore w:val="0"/>
        <w:kinsoku/>
        <w:wordWrap w:val="0"/>
        <w:overflowPunct/>
        <w:topLinePunct/>
        <w:autoSpaceDE/>
        <w:autoSpaceDN/>
        <w:bidi w:val="0"/>
        <w:spacing w:line="360" w:lineRule="auto"/>
        <w:ind w:firstLine="420" w:firstLineChars="200"/>
        <w:textAlignment w:val="auto"/>
        <w:rPr>
          <w:rFonts w:hint="eastAsia" w:ascii="宋体" w:hAnsi="宋体"/>
          <w:kern w:val="2"/>
          <w:sz w:val="21"/>
          <w:szCs w:val="21"/>
        </w:rPr>
      </w:pPr>
    </w:p>
    <w:p>
      <w:pPr>
        <w:pageBreakBefore w:val="0"/>
        <w:kinsoku/>
        <w:wordWrap w:val="0"/>
        <w:overflowPunct/>
        <w:topLinePunct/>
        <w:autoSpaceDE/>
        <w:autoSpaceDN/>
        <w:bidi w:val="0"/>
        <w:adjustRightInd w:val="0"/>
        <w:snapToGrid w:val="0"/>
        <w:spacing w:line="360" w:lineRule="auto"/>
        <w:ind w:left="1125" w:leftChars="41" w:hanging="1039" w:hangingChars="495"/>
        <w:jc w:val="center"/>
        <w:textAlignment w:val="auto"/>
        <w:outlineLvl w:val="0"/>
        <w:rPr>
          <w:rFonts w:hint="eastAsia" w:ascii="宋体" w:hAnsi="宋体" w:cs="宋体"/>
          <w:szCs w:val="21"/>
        </w:rPr>
      </w:pPr>
      <w:r>
        <w:rPr>
          <w:rFonts w:hint="eastAsia" w:ascii="宋体" w:hAnsi="宋体"/>
          <w:kern w:val="2"/>
          <w:sz w:val="21"/>
          <w:szCs w:val="21"/>
        </w:rPr>
        <w:t xml:space="preserve">                          年        月        日</w:t>
      </w:r>
      <w:r>
        <w:rPr>
          <w:rFonts w:hint="eastAsia" w:ascii="宋体" w:hAnsi="宋体" w:cs="宋体"/>
          <w:snapToGrid w:val="0"/>
          <w:szCs w:val="21"/>
        </w:rPr>
        <w:t xml:space="preserve"> </w:t>
      </w:r>
      <w:r>
        <w:rPr>
          <w:rFonts w:hint="eastAsia" w:ascii="宋体" w:hAnsi="宋体" w:cs="宋体"/>
          <w:szCs w:val="21"/>
        </w:rPr>
        <w:t xml:space="preserve">    </w:t>
      </w:r>
      <w:r>
        <w:rPr>
          <w:rFonts w:hint="eastAsia" w:ascii="宋体" w:hAnsi="宋体" w:cs="宋体"/>
          <w:szCs w:val="21"/>
        </w:rPr>
        <w:br w:type="textWrapping"/>
      </w:r>
      <w:bookmarkEnd w:id="101"/>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Style w:val="30"/>
        <w:pageBreakBefore w:val="0"/>
        <w:kinsoku/>
        <w:wordWrap w:val="0"/>
        <w:overflowPunct/>
        <w:topLinePunct/>
        <w:autoSpaceDE/>
        <w:autoSpaceDN/>
        <w:bidi w:val="0"/>
        <w:textAlignment w:val="auto"/>
        <w:rPr>
          <w:rFonts w:hint="eastAsia" w:ascii="宋体" w:hAnsi="宋体" w:cs="宋体"/>
          <w:szCs w:val="21"/>
        </w:rPr>
      </w:pPr>
    </w:p>
    <w:p>
      <w:pPr>
        <w:pageBreakBefore w:val="0"/>
        <w:kinsoku/>
        <w:wordWrap w:val="0"/>
        <w:overflowPunct/>
        <w:topLinePunct/>
        <w:autoSpaceDE/>
        <w:autoSpaceDN/>
        <w:bidi w:val="0"/>
        <w:ind w:left="3289"/>
        <w:jc w:val="left"/>
        <w:textAlignment w:val="auto"/>
        <w:rPr>
          <w:rFonts w:hint="eastAsia"/>
          <w:b/>
          <w:sz w:val="48"/>
          <w:szCs w:val="48"/>
        </w:rPr>
      </w:pPr>
      <w:r>
        <w:rPr>
          <w:rFonts w:hint="eastAsia" w:cs="宋体"/>
          <w:sz w:val="28"/>
          <w:szCs w:val="28"/>
        </w:rPr>
        <w:t xml:space="preserve">    </w:t>
      </w:r>
      <w:r>
        <w:rPr>
          <w:rFonts w:hint="eastAsia"/>
          <w:b/>
          <w:sz w:val="28"/>
          <w:szCs w:val="28"/>
        </w:rPr>
        <w:t>第六部分 响应文件格式</w:t>
      </w:r>
    </w:p>
    <w:p>
      <w:pPr>
        <w:pageBreakBefore w:val="0"/>
        <w:kinsoku/>
        <w:wordWrap w:val="0"/>
        <w:overflowPunct/>
        <w:topLinePunct/>
        <w:autoSpaceDE/>
        <w:autoSpaceDN/>
        <w:bidi w:val="0"/>
        <w:textAlignment w:val="auto"/>
        <w:rPr>
          <w:rFonts w:hint="eastAsia"/>
          <w:b/>
          <w:szCs w:val="21"/>
        </w:rPr>
      </w:pPr>
      <w:r>
        <w:rPr>
          <w:rFonts w:hint="eastAsia"/>
          <w:b/>
          <w:szCs w:val="21"/>
        </w:rPr>
        <w:t>说明：</w:t>
      </w:r>
    </w:p>
    <w:p>
      <w:pPr>
        <w:pageBreakBefore w:val="0"/>
        <w:kinsoku/>
        <w:wordWrap w:val="0"/>
        <w:overflowPunct/>
        <w:topLinePunct/>
        <w:autoSpaceDE/>
        <w:autoSpaceDN/>
        <w:bidi w:val="0"/>
        <w:spacing w:line="400" w:lineRule="exact"/>
        <w:ind w:firstLine="422" w:firstLineChars="200"/>
        <w:textAlignment w:val="auto"/>
        <w:rPr>
          <w:rFonts w:hint="eastAsia" w:ascii="宋体" w:hAnsi="宋体" w:cs="宋体"/>
          <w:b/>
          <w:sz w:val="24"/>
        </w:rPr>
      </w:pPr>
      <w:r>
        <w:rPr>
          <w:rFonts w:hint="eastAsia"/>
          <w:b/>
          <w:szCs w:val="21"/>
        </w:rPr>
        <w:t>对本章所有的响应书格式，响应人可根据自身情况进行补充和修改，但补充和修改不得造成与本格式内容有实质性的违背。</w:t>
      </w:r>
      <w:bookmarkEnd w:id="4"/>
      <w:bookmarkEnd w:id="5"/>
      <w:bookmarkStart w:id="170" w:name="_Toc288738393"/>
      <w:bookmarkStart w:id="171" w:name="_Toc288738835"/>
    </w:p>
    <w:p>
      <w:pPr>
        <w:pageBreakBefore w:val="0"/>
        <w:kinsoku/>
        <w:wordWrap w:val="0"/>
        <w:overflowPunct/>
        <w:topLinePunct/>
        <w:autoSpaceDE/>
        <w:autoSpaceDN/>
        <w:bidi w:val="0"/>
        <w:spacing w:line="440" w:lineRule="exact"/>
        <w:ind w:firstLine="420" w:firstLineChars="200"/>
        <w:jc w:val="center"/>
        <w:textAlignment w:val="auto"/>
        <w:rPr>
          <w:rFonts w:hint="eastAsia" w:ascii="宋体" w:hAnsi="宋体" w:cs="宋体"/>
          <w:szCs w:val="28"/>
        </w:rPr>
      </w:pPr>
    </w:p>
    <w:p>
      <w:pPr>
        <w:pStyle w:val="4"/>
        <w:pageBreakBefore w:val="0"/>
        <w:kinsoku/>
        <w:wordWrap w:val="0"/>
        <w:overflowPunct/>
        <w:topLinePunct/>
        <w:autoSpaceDE/>
        <w:autoSpaceDN/>
        <w:bidi w:val="0"/>
        <w:jc w:val="left"/>
        <w:textAlignment w:val="auto"/>
        <w:rPr>
          <w:rFonts w:hint="eastAsia" w:ascii="宋体" w:hAnsi="宋体" w:eastAsia="宋体" w:cs="宋体"/>
          <w:sz w:val="21"/>
          <w:szCs w:val="21"/>
        </w:rPr>
      </w:pPr>
      <w:bookmarkStart w:id="172" w:name="_Toc12344"/>
      <w:r>
        <w:rPr>
          <w:rFonts w:hint="eastAsia" w:ascii="宋体" w:hAnsi="宋体" w:eastAsia="宋体" w:cs="宋体"/>
          <w:sz w:val="21"/>
          <w:szCs w:val="21"/>
        </w:rPr>
        <w:t>附件一：</w:t>
      </w:r>
      <w:bookmarkEnd w:id="172"/>
    </w:p>
    <w:p>
      <w:pPr>
        <w:pageBreakBefore w:val="0"/>
        <w:kinsoku/>
        <w:wordWrap w:val="0"/>
        <w:overflowPunct/>
        <w:topLinePunct/>
        <w:autoSpaceDE/>
        <w:autoSpaceDN/>
        <w:bidi w:val="0"/>
        <w:spacing w:line="400" w:lineRule="exact"/>
        <w:jc w:val="center"/>
        <w:textAlignment w:val="auto"/>
        <w:rPr>
          <w:rFonts w:hint="eastAsia" w:ascii="宋体" w:hAnsi="宋体" w:cs="宋体"/>
          <w:b/>
          <w:sz w:val="28"/>
          <w:szCs w:val="28"/>
        </w:rPr>
      </w:pPr>
      <w:r>
        <w:rPr>
          <w:rFonts w:hint="eastAsia" w:ascii="宋体" w:hAnsi="宋体" w:cs="宋体"/>
          <w:b/>
          <w:sz w:val="28"/>
          <w:szCs w:val="28"/>
        </w:rPr>
        <w:t xml:space="preserve">  响    应    函</w:t>
      </w:r>
    </w:p>
    <w:p>
      <w:pPr>
        <w:pageBreakBefore w:val="0"/>
        <w:kinsoku/>
        <w:wordWrap w:val="0"/>
        <w:overflowPunct/>
        <w:topLinePunct/>
        <w:autoSpaceDE/>
        <w:autoSpaceDN/>
        <w:bidi w:val="0"/>
        <w:spacing w:line="400" w:lineRule="exact"/>
        <w:textAlignment w:val="auto"/>
        <w:rPr>
          <w:rFonts w:hint="eastAsia" w:ascii="宋体" w:hAnsi="宋体" w:cs="宋体"/>
          <w:szCs w:val="21"/>
        </w:rPr>
      </w:pPr>
    </w:p>
    <w:p>
      <w:pPr>
        <w:pageBreakBefore w:val="0"/>
        <w:kinsoku/>
        <w:wordWrap w:val="0"/>
        <w:overflowPunct/>
        <w:topLinePunct/>
        <w:autoSpaceDE/>
        <w:autoSpaceDN/>
        <w:bidi w:val="0"/>
        <w:spacing w:line="400" w:lineRule="exact"/>
        <w:textAlignment w:val="auto"/>
        <w:rPr>
          <w:rFonts w:hint="eastAsia" w:ascii="宋体" w:hAnsi="宋体" w:eastAsia="宋体" w:cs="宋体"/>
          <w:szCs w:val="21"/>
          <w:lang w:eastAsia="zh-CN"/>
        </w:rPr>
      </w:pPr>
      <w:r>
        <w:rPr>
          <w:rFonts w:hint="eastAsia" w:ascii="宋体" w:hAnsi="宋体" w:cs="宋体"/>
          <w:szCs w:val="21"/>
        </w:rPr>
        <w:t>致：</w:t>
      </w:r>
      <w:r>
        <w:rPr>
          <w:rFonts w:hint="eastAsia" w:ascii="宋体" w:hAnsi="宋体" w:cs="宋体"/>
          <w:szCs w:val="21"/>
          <w:lang w:eastAsia="zh-CN"/>
        </w:rPr>
        <w:t>常州市金坛区直溪镇人民政府</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 xml:space="preserve">    </w:t>
      </w:r>
      <w:r>
        <w:rPr>
          <w:rFonts w:hint="eastAsia" w:ascii="宋体" w:hAnsi="宋体" w:cs="宋体"/>
          <w:szCs w:val="21"/>
          <w:lang w:eastAsia="zh-CN"/>
        </w:rPr>
        <w:t>江苏和润工程项目管理有限公司</w:t>
      </w:r>
      <w:r>
        <w:rPr>
          <w:rFonts w:hint="eastAsia" w:ascii="宋体" w:hAnsi="宋体" w:cs="宋体"/>
          <w:szCs w:val="21"/>
        </w:rPr>
        <w:t xml:space="preserve">   </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我单位收到贵单位“</w:t>
      </w:r>
      <w:r>
        <w:rPr>
          <w:rFonts w:hint="eastAsia" w:hAnsi="宋体" w:cs="宋体"/>
          <w:sz w:val="21"/>
          <w:szCs w:val="21"/>
          <w:u w:val="single"/>
        </w:rPr>
        <w:t xml:space="preserve">              </w:t>
      </w:r>
      <w:r>
        <w:rPr>
          <w:rFonts w:hint="eastAsia" w:hAnsi="宋体" w:cs="宋体"/>
          <w:sz w:val="21"/>
          <w:szCs w:val="21"/>
        </w:rPr>
        <w:t>”谈判文件后，经详细研究，我们决定参加该项目采购活动。为此，我方郑重声明以下诸点，并负法律责任。</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1、按谈判文件规定的各项要求，向采购人提供所需货物与服务。</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2、我方承诺质量、工期满足采购方要求。</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3、我方承诺财务状况良好，依法缴纳税收和社会保障资金，具备履行合同所必需的设备和专业技术能力，参加政府采购活动前3年内在经营活动中没有重大违法记录。</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4、我方承诺该响应文件在该项目的全过程中保持有效，不作任何更改和变动。</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5、我们愿按《中华人民共和国合同法》履行自己的全部责任。</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6、我方同意按谈判文件规定交纳谈判保证金，遵守贵机构有关采购活动的各项规定。</w:t>
      </w:r>
    </w:p>
    <w:p>
      <w:pPr>
        <w:pStyle w:val="13"/>
        <w:pageBreakBefore w:val="0"/>
        <w:kinsoku/>
        <w:wordWrap w:val="0"/>
        <w:overflowPunct/>
        <w:topLinePunct/>
        <w:autoSpaceDE/>
        <w:autoSpaceDN/>
        <w:bidi w:val="0"/>
        <w:spacing w:line="400" w:lineRule="exact"/>
        <w:ind w:firstLine="420" w:firstLineChars="200"/>
        <w:textAlignment w:val="auto"/>
        <w:rPr>
          <w:rFonts w:hint="eastAsia" w:hAnsi="宋体" w:cs="宋体"/>
          <w:sz w:val="21"/>
          <w:szCs w:val="21"/>
        </w:rPr>
      </w:pPr>
      <w:r>
        <w:rPr>
          <w:rFonts w:hint="eastAsia" w:hAnsi="宋体" w:cs="宋体"/>
          <w:sz w:val="21"/>
          <w:szCs w:val="21"/>
        </w:rPr>
        <w:t>7、愿意提供谈判文件中要求所有资料，并保证完全真实准确，若有虚假和违背，我公司愿意承担由此而产生的一切后果。</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1"/>
        </w:rPr>
      </w:pPr>
      <w:r>
        <w:rPr>
          <w:rFonts w:hint="eastAsia" w:ascii="宋体" w:hAnsi="宋体" w:cs="宋体"/>
          <w:szCs w:val="21"/>
        </w:rPr>
        <w:t>8、与本次采购活动有关的正式通讯地址为：</w:t>
      </w:r>
    </w:p>
    <w:p>
      <w:pPr>
        <w:pageBreakBefore w:val="0"/>
        <w:kinsoku/>
        <w:wordWrap w:val="0"/>
        <w:overflowPunct/>
        <w:topLinePunct/>
        <w:autoSpaceDE/>
        <w:autoSpaceDN/>
        <w:bidi w:val="0"/>
        <w:spacing w:line="400" w:lineRule="exact"/>
        <w:textAlignment w:val="auto"/>
        <w:rPr>
          <w:rFonts w:hint="eastAsia" w:ascii="宋体" w:hAnsi="宋体" w:cs="宋体"/>
          <w:szCs w:val="21"/>
        </w:rPr>
      </w:pP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地   址：                  </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电   话：                  </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传   真：                  </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响应人法定代表人或代理人（签字或盖章）：       </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响应人名称（盖章）：             </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日    期：     年    月    日.</w:t>
      </w:r>
    </w:p>
    <w:p>
      <w:pPr>
        <w:pageBreakBefore w:val="0"/>
        <w:kinsoku/>
        <w:wordWrap w:val="0"/>
        <w:overflowPunct/>
        <w:topLinePunct/>
        <w:autoSpaceDE/>
        <w:autoSpaceDN/>
        <w:bidi w:val="0"/>
        <w:spacing w:line="400" w:lineRule="exact"/>
        <w:textAlignment w:val="auto"/>
        <w:rPr>
          <w:rFonts w:hint="eastAsia" w:ascii="宋体" w:hAnsi="宋体" w:cs="宋体"/>
          <w:b/>
          <w:szCs w:val="21"/>
        </w:rPr>
      </w:pPr>
      <w:r>
        <w:rPr>
          <w:rFonts w:hint="eastAsia" w:ascii="宋体" w:hAnsi="宋体" w:cs="宋体"/>
          <w:b/>
          <w:szCs w:val="21"/>
        </w:rPr>
        <w:br w:type="page"/>
      </w:r>
      <w:r>
        <w:rPr>
          <w:rFonts w:hint="eastAsia" w:ascii="宋体" w:hAnsi="宋体" w:cs="宋体"/>
          <w:b/>
          <w:szCs w:val="21"/>
        </w:rPr>
        <w:t>附件二：</w:t>
      </w:r>
      <w:bookmarkEnd w:id="170"/>
      <w:bookmarkEnd w:id="171"/>
    </w:p>
    <w:p>
      <w:pPr>
        <w:pageBreakBefore w:val="0"/>
        <w:kinsoku/>
        <w:wordWrap w:val="0"/>
        <w:overflowPunct/>
        <w:topLinePunct/>
        <w:autoSpaceDE/>
        <w:autoSpaceDN/>
        <w:bidi w:val="0"/>
        <w:snapToGrid w:val="0"/>
        <w:spacing w:line="400" w:lineRule="exact"/>
        <w:jc w:val="center"/>
        <w:textAlignment w:val="auto"/>
        <w:rPr>
          <w:rFonts w:hint="eastAsia" w:ascii="宋体" w:hAnsi="宋体" w:cs="宋体"/>
          <w:b/>
          <w:szCs w:val="21"/>
        </w:rPr>
      </w:pPr>
      <w:r>
        <w:rPr>
          <w:rFonts w:hint="eastAsia" w:ascii="宋体" w:hAnsi="宋体" w:cs="宋体"/>
          <w:b/>
          <w:szCs w:val="21"/>
        </w:rPr>
        <w:t>法定代表人资格证明书</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单位名称:</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地址:</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姓名:            性别:        年龄:        职务:</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系</w:t>
      </w:r>
      <w:r>
        <w:rPr>
          <w:rFonts w:hint="eastAsia" w:ascii="宋体" w:hAnsi="宋体" w:cs="宋体"/>
          <w:szCs w:val="21"/>
          <w:u w:val="single"/>
        </w:rPr>
        <w:t xml:space="preserve">                    </w:t>
      </w:r>
      <w:r>
        <w:rPr>
          <w:rFonts w:hint="eastAsia" w:ascii="宋体" w:hAnsi="宋体" w:cs="宋体"/>
          <w:szCs w:val="21"/>
        </w:rPr>
        <w:t> 的法定代表人。为实施</w:t>
      </w:r>
      <w:r>
        <w:rPr>
          <w:rFonts w:hint="eastAsia" w:ascii="宋体" w:hAnsi="宋体" w:cs="宋体"/>
          <w:szCs w:val="21"/>
          <w:u w:val="single"/>
        </w:rPr>
        <w:t xml:space="preserve">         号</w:t>
      </w:r>
      <w:r>
        <w:rPr>
          <w:rFonts w:hint="eastAsia" w:ascii="宋体" w:hAnsi="宋体" w:cs="宋体"/>
          <w:szCs w:val="21"/>
        </w:rPr>
        <w:t>的工作，签署上述项目的响应文件、进行合同谈判、签署合同和处理与之有关的一切事务。</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特此证明。</w:t>
      </w:r>
    </w:p>
    <w:p>
      <w:pPr>
        <w:pageBreakBefore w:val="0"/>
        <w:kinsoku/>
        <w:wordWrap w:val="0"/>
        <w:overflowPunct/>
        <w:topLinePunct/>
        <w:autoSpaceDE/>
        <w:autoSpaceDN/>
        <w:bidi w:val="0"/>
        <w:spacing w:line="400" w:lineRule="exact"/>
        <w:textAlignment w:val="auto"/>
        <w:rPr>
          <w:rFonts w:hint="eastAsia" w:ascii="宋体" w:hAnsi="宋体" w:cs="宋体"/>
          <w:szCs w:val="21"/>
        </w:rPr>
      </w:pP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                 响应人：（盖章）</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                     法定代表人签字或盖章：</w:t>
      </w:r>
    </w:p>
    <w:p>
      <w:pPr>
        <w:pageBreakBefore w:val="0"/>
        <w:kinsoku/>
        <w:wordWrap w:val="0"/>
        <w:overflowPunct/>
        <w:topLinePunct/>
        <w:autoSpaceDE/>
        <w:autoSpaceDN/>
        <w:bidi w:val="0"/>
        <w:spacing w:line="400" w:lineRule="exact"/>
        <w:ind w:firstLine="3570" w:firstLineChars="1700"/>
        <w:textAlignment w:val="auto"/>
        <w:rPr>
          <w:rFonts w:hint="eastAsia" w:ascii="宋体" w:hAnsi="宋体" w:cs="宋体"/>
          <w:szCs w:val="21"/>
        </w:rPr>
      </w:pPr>
      <w:r>
        <w:rPr>
          <w:rFonts w:hint="eastAsia" w:ascii="宋体" w:hAnsi="宋体" w:cs="宋体"/>
          <w:szCs w:val="21"/>
        </w:rPr>
        <w:t>日期：    年    月    日</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法定代表人身份证</w:t>
      </w:r>
    </w:p>
    <w:p>
      <w:pPr>
        <w:pageBreakBefore w:val="0"/>
        <w:kinsoku/>
        <w:wordWrap w:val="0"/>
        <w:overflowPunct/>
        <w:topLinePunct/>
        <w:autoSpaceDE/>
        <w:autoSpaceDN/>
        <w:bidi w:val="0"/>
        <w:spacing w:line="400" w:lineRule="exact"/>
        <w:textAlignment w:val="auto"/>
        <w:rPr>
          <w:rFonts w:hint="eastAsia" w:ascii="宋体" w:hAnsi="宋体" w:cs="宋体"/>
          <w:szCs w:val="21"/>
        </w:rPr>
      </w:pPr>
      <w:r>
        <w:rPr>
          <w:rFonts w:hint="eastAsia" w:ascii="宋体" w:hAnsi="宋体" w:cs="宋体"/>
          <w:szCs w:val="21"/>
        </w:rPr>
        <w:t>（复印件）</w:t>
      </w: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napToGrid w:val="0"/>
        <w:spacing w:line="400" w:lineRule="exact"/>
        <w:textAlignment w:val="auto"/>
        <w:rPr>
          <w:rFonts w:hint="eastAsia" w:ascii="宋体" w:hAnsi="宋体" w:cs="宋体"/>
          <w:b/>
          <w:sz w:val="24"/>
          <w:szCs w:val="28"/>
        </w:rPr>
      </w:pPr>
    </w:p>
    <w:p>
      <w:pPr>
        <w:pageBreakBefore w:val="0"/>
        <w:kinsoku/>
        <w:wordWrap w:val="0"/>
        <w:overflowPunct/>
        <w:topLinePunct/>
        <w:autoSpaceDE/>
        <w:autoSpaceDN/>
        <w:bidi w:val="0"/>
        <w:spacing w:line="400" w:lineRule="exact"/>
        <w:textAlignment w:val="auto"/>
        <w:rPr>
          <w:rFonts w:hint="eastAsia" w:ascii="宋体" w:hAnsi="宋体" w:cs="宋体"/>
          <w:b/>
          <w:szCs w:val="21"/>
        </w:rPr>
      </w:pPr>
      <w:bookmarkStart w:id="173" w:name="_Toc517793379"/>
      <w:r>
        <w:rPr>
          <w:rFonts w:hint="eastAsia" w:ascii="宋体" w:hAnsi="宋体" w:cs="宋体"/>
          <w:b/>
          <w:szCs w:val="21"/>
        </w:rPr>
        <w:br w:type="page"/>
      </w:r>
      <w:r>
        <w:rPr>
          <w:rFonts w:hint="eastAsia" w:ascii="宋体" w:hAnsi="宋体" w:cs="宋体"/>
          <w:b/>
          <w:szCs w:val="21"/>
        </w:rPr>
        <w:t>附件三：</w:t>
      </w:r>
      <w:bookmarkEnd w:id="173"/>
    </w:p>
    <w:p>
      <w:pPr>
        <w:pageBreakBefore w:val="0"/>
        <w:kinsoku/>
        <w:wordWrap w:val="0"/>
        <w:overflowPunct/>
        <w:topLinePunct/>
        <w:autoSpaceDE/>
        <w:autoSpaceDN/>
        <w:bidi w:val="0"/>
        <w:snapToGrid w:val="0"/>
        <w:spacing w:line="400" w:lineRule="exact"/>
        <w:jc w:val="center"/>
        <w:textAlignment w:val="auto"/>
        <w:rPr>
          <w:rFonts w:hint="eastAsia" w:ascii="宋体" w:hAnsi="宋体" w:cs="宋体"/>
          <w:b/>
          <w:szCs w:val="21"/>
        </w:rPr>
      </w:pPr>
      <w:r>
        <w:rPr>
          <w:rFonts w:hint="eastAsia" w:ascii="宋体" w:hAnsi="宋体" w:cs="宋体"/>
          <w:b/>
          <w:szCs w:val="21"/>
        </w:rPr>
        <w:t>授权委托书</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本授权委托书声明：__________________（响应人名称）的________________（法定代表人姓名、职务）代表响应人授权_______________（被授权人的姓名、职务）为</w:t>
      </w:r>
      <w:r>
        <w:rPr>
          <w:rFonts w:hint="eastAsia" w:ascii="宋体" w:hAnsi="宋体" w:cs="宋体"/>
          <w:szCs w:val="21"/>
          <w:u w:val="single"/>
        </w:rPr>
        <w:t xml:space="preserve">       号）</w:t>
      </w:r>
      <w:r>
        <w:rPr>
          <w:rFonts w:hint="eastAsia" w:ascii="宋体" w:hAnsi="宋体" w:cs="宋体"/>
          <w:szCs w:val="21"/>
        </w:rPr>
        <w:t>项目投标的合法代理人，全权负责参加本次政府采购项目谈判、签订合约以及与之相关的各项工作。本响应人对代理人的签名负全部责任。</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本授权书于__________年_______月________日签字生效，特此声明。</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法定代表人签字或盖章：                   日期：</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职务：                                   联系电话：</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单位名称：                               地址：</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身份证号码：</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代理人签字或盖章：                       日期：</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职务：                                   联系电话：</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单位名称：                               地址：</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身份证号码：</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响应人章：</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地址：                                   电话：</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传真：                                   邮编：</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开户行：</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账号：</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代理人身份证</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（复印件）</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备注：</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1、法定代表人参加谈判时，需携带法人资格证明和本人身份证原件</w:t>
      </w:r>
      <w:r>
        <w:rPr>
          <w:rFonts w:hint="eastAsia" w:ascii="宋体" w:hAnsi="宋体" w:cs="宋体"/>
          <w:b/>
          <w:spacing w:val="2"/>
          <w:szCs w:val="21"/>
        </w:rPr>
        <w:t>（</w:t>
      </w:r>
      <w:r>
        <w:rPr>
          <w:rFonts w:hint="eastAsia" w:ascii="宋体" w:hAnsi="宋体" w:cs="宋体"/>
          <w:b/>
          <w:bCs/>
          <w:szCs w:val="21"/>
        </w:rPr>
        <w:t>若身份证遗失的，可提供临时身份证或居民户口簿</w:t>
      </w:r>
      <w:r>
        <w:rPr>
          <w:rFonts w:hint="eastAsia" w:ascii="宋体" w:hAnsi="宋体" w:cs="宋体"/>
          <w:b/>
          <w:spacing w:val="2"/>
          <w:szCs w:val="21"/>
        </w:rPr>
        <w:t>）</w:t>
      </w:r>
      <w:r>
        <w:rPr>
          <w:rFonts w:hint="eastAsia" w:ascii="宋体" w:hAnsi="宋体" w:cs="宋体"/>
          <w:szCs w:val="21"/>
        </w:rPr>
        <w:t>。</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r>
        <w:rPr>
          <w:rFonts w:hint="eastAsia" w:ascii="宋体" w:hAnsi="宋体" w:cs="宋体"/>
          <w:szCs w:val="21"/>
        </w:rPr>
        <w:t>2、代理人参加谈判时，需携带授权委托书和本人身份证原件</w:t>
      </w:r>
      <w:r>
        <w:rPr>
          <w:rFonts w:hint="eastAsia" w:ascii="宋体" w:hAnsi="宋体" w:cs="宋体"/>
          <w:b/>
          <w:spacing w:val="2"/>
          <w:szCs w:val="21"/>
        </w:rPr>
        <w:t>（</w:t>
      </w:r>
      <w:r>
        <w:rPr>
          <w:rFonts w:hint="eastAsia" w:ascii="宋体" w:hAnsi="宋体" w:cs="宋体"/>
          <w:b/>
          <w:bCs/>
          <w:szCs w:val="21"/>
        </w:rPr>
        <w:t>若身份证遗失的，可提供临时身份证或居民户口簿</w:t>
      </w:r>
      <w:r>
        <w:rPr>
          <w:rFonts w:hint="eastAsia" w:ascii="宋体" w:hAnsi="宋体" w:cs="宋体"/>
          <w:b/>
          <w:spacing w:val="2"/>
          <w:szCs w:val="21"/>
        </w:rPr>
        <w:t>）</w:t>
      </w:r>
      <w:r>
        <w:rPr>
          <w:rFonts w:hint="eastAsia" w:ascii="宋体" w:hAnsi="宋体" w:cs="宋体"/>
          <w:szCs w:val="21"/>
        </w:rPr>
        <w:t>。</w:t>
      </w:r>
    </w:p>
    <w:p>
      <w:pPr>
        <w:pageBreakBefore w:val="0"/>
        <w:kinsoku/>
        <w:wordWrap w:val="0"/>
        <w:overflowPunct/>
        <w:topLinePunct/>
        <w:autoSpaceDE/>
        <w:autoSpaceDN/>
        <w:bidi w:val="0"/>
        <w:spacing w:line="400" w:lineRule="exact"/>
        <w:textAlignment w:val="auto"/>
        <w:rPr>
          <w:rFonts w:hint="eastAsia" w:ascii="宋体" w:hAnsi="宋体" w:cs="宋体"/>
          <w:szCs w:val="21"/>
        </w:rPr>
      </w:pPr>
      <w:bookmarkStart w:id="174" w:name="_Toc517793380"/>
      <w:bookmarkStart w:id="175" w:name="_Toc288738836"/>
      <w:bookmarkStart w:id="176" w:name="_Toc288738394"/>
    </w:p>
    <w:p>
      <w:pPr>
        <w:pageBreakBefore w:val="0"/>
        <w:kinsoku/>
        <w:wordWrap w:val="0"/>
        <w:overflowPunct/>
        <w:topLinePunct/>
        <w:autoSpaceDE/>
        <w:autoSpaceDN/>
        <w:bidi w:val="0"/>
        <w:spacing w:line="400" w:lineRule="exact"/>
        <w:textAlignment w:val="auto"/>
        <w:rPr>
          <w:rFonts w:hint="eastAsia" w:ascii="宋体" w:hAnsi="宋体" w:cs="宋体"/>
          <w:szCs w:val="21"/>
        </w:rPr>
      </w:pPr>
    </w:p>
    <w:p>
      <w:pPr>
        <w:pageBreakBefore w:val="0"/>
        <w:kinsoku/>
        <w:wordWrap w:val="0"/>
        <w:overflowPunct/>
        <w:topLinePunct/>
        <w:autoSpaceDE/>
        <w:autoSpaceDN/>
        <w:bidi w:val="0"/>
        <w:spacing w:line="400" w:lineRule="exact"/>
        <w:textAlignment w:val="auto"/>
        <w:rPr>
          <w:rFonts w:hint="eastAsia" w:ascii="宋体" w:hAnsi="宋体" w:cs="宋体"/>
          <w:b/>
          <w:bCs/>
          <w:szCs w:val="21"/>
        </w:rPr>
      </w:pPr>
      <w:r>
        <w:rPr>
          <w:rFonts w:hint="eastAsia" w:ascii="宋体" w:hAnsi="宋体" w:cs="宋体"/>
          <w:b/>
          <w:bCs/>
          <w:szCs w:val="21"/>
        </w:rPr>
        <w:t>附件四：</w:t>
      </w:r>
      <w:bookmarkEnd w:id="174"/>
    </w:p>
    <w:p>
      <w:pPr>
        <w:pageBreakBefore w:val="0"/>
        <w:kinsoku/>
        <w:wordWrap w:val="0"/>
        <w:overflowPunct/>
        <w:topLinePunct/>
        <w:autoSpaceDE/>
        <w:autoSpaceDN/>
        <w:bidi w:val="0"/>
        <w:spacing w:line="400" w:lineRule="exact"/>
        <w:jc w:val="center"/>
        <w:textAlignment w:val="auto"/>
        <w:rPr>
          <w:rFonts w:hint="eastAsia" w:ascii="宋体" w:hAnsi="宋体" w:cs="宋体"/>
          <w:b/>
          <w:szCs w:val="21"/>
        </w:rPr>
      </w:pPr>
      <w:r>
        <w:rPr>
          <w:rFonts w:hint="eastAsia" w:ascii="宋体" w:hAnsi="宋体" w:cs="宋体"/>
          <w:b/>
          <w:szCs w:val="21"/>
        </w:rPr>
        <w:t>具备履行合同所必需的设备和专业技术能力的书面声明</w:t>
      </w:r>
    </w:p>
    <w:p>
      <w:pPr>
        <w:pageBreakBefore w:val="0"/>
        <w:kinsoku/>
        <w:wordWrap w:val="0"/>
        <w:overflowPunct/>
        <w:topLinePunct/>
        <w:autoSpaceDE/>
        <w:autoSpaceDN/>
        <w:bidi w:val="0"/>
        <w:spacing w:line="400" w:lineRule="exact"/>
        <w:textAlignment w:val="auto"/>
        <w:rPr>
          <w:rFonts w:hint="eastAsia" w:ascii="宋体" w:hAnsi="宋体" w:cs="宋体"/>
          <w:szCs w:val="21"/>
        </w:rPr>
      </w:pP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1"/>
        </w:rPr>
      </w:pPr>
      <w:r>
        <w:rPr>
          <w:rFonts w:hint="eastAsia" w:ascii="宋体" w:hAnsi="宋体" w:cs="宋体"/>
          <w:szCs w:val="21"/>
        </w:rPr>
        <w:t>我公司郑重声明：我公司具备履行本项采购合同所必需的设备和专业技术能力，为履行本项采购合同我公司具备如下主要设备和主要专业技术能力：</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1"/>
        </w:rPr>
      </w:pPr>
      <w:r>
        <w:rPr>
          <w:rFonts w:hint="eastAsia" w:ascii="宋体" w:hAnsi="宋体" w:cs="宋体"/>
          <w:szCs w:val="21"/>
        </w:rPr>
        <w:t>主要设备有：</w:t>
      </w:r>
    </w:p>
    <w:p>
      <w:pPr>
        <w:pageBreakBefore w:val="0"/>
        <w:kinsoku/>
        <w:wordWrap w:val="0"/>
        <w:overflowPunct/>
        <w:topLinePunct/>
        <w:autoSpaceDE/>
        <w:autoSpaceDN/>
        <w:bidi w:val="0"/>
        <w:spacing w:line="400" w:lineRule="exact"/>
        <w:ind w:firstLine="420" w:firstLineChars="200"/>
        <w:textAlignment w:val="auto"/>
        <w:rPr>
          <w:rFonts w:hint="eastAsia" w:ascii="宋体" w:hAnsi="宋体" w:cs="宋体"/>
          <w:szCs w:val="21"/>
        </w:rPr>
      </w:pPr>
      <w:r>
        <w:rPr>
          <w:rFonts w:hint="eastAsia" w:ascii="宋体" w:hAnsi="宋体" w:cs="宋体"/>
          <w:szCs w:val="21"/>
        </w:rPr>
        <w:t>主要专业技术能力有：</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响应人名称（盖章）：</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法定代表人或代理人（签字或盖章）：_______________________</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日期：______年月日</w:t>
      </w:r>
    </w:p>
    <w:p>
      <w:pPr>
        <w:pageBreakBefore w:val="0"/>
        <w:kinsoku/>
        <w:wordWrap w:val="0"/>
        <w:overflowPunct/>
        <w:topLinePunct/>
        <w:autoSpaceDE/>
        <w:autoSpaceDN/>
        <w:bidi w:val="0"/>
        <w:spacing w:line="400" w:lineRule="exact"/>
        <w:textAlignment w:val="auto"/>
        <w:rPr>
          <w:rFonts w:hint="eastAsia" w:ascii="宋体" w:hAnsi="宋体" w:cs="宋体"/>
          <w:szCs w:val="21"/>
        </w:rPr>
      </w:pPr>
    </w:p>
    <w:p>
      <w:pPr>
        <w:pageBreakBefore w:val="0"/>
        <w:kinsoku/>
        <w:wordWrap w:val="0"/>
        <w:overflowPunct/>
        <w:topLinePunct/>
        <w:autoSpaceDE/>
        <w:autoSpaceDN/>
        <w:bidi w:val="0"/>
        <w:spacing w:line="400" w:lineRule="exact"/>
        <w:textAlignment w:val="auto"/>
        <w:rPr>
          <w:rFonts w:hint="eastAsia" w:ascii="宋体" w:hAnsi="宋体" w:cs="宋体"/>
          <w:szCs w:val="21"/>
        </w:rPr>
      </w:pPr>
    </w:p>
    <w:p>
      <w:pPr>
        <w:pageBreakBefore w:val="0"/>
        <w:kinsoku/>
        <w:wordWrap w:val="0"/>
        <w:overflowPunct/>
        <w:topLinePunct/>
        <w:autoSpaceDE/>
        <w:autoSpaceDN/>
        <w:bidi w:val="0"/>
        <w:spacing w:line="400" w:lineRule="exact"/>
        <w:jc w:val="center"/>
        <w:textAlignment w:val="auto"/>
        <w:rPr>
          <w:rFonts w:hint="eastAsia" w:ascii="宋体" w:hAnsi="宋体" w:cs="宋体"/>
          <w:b/>
          <w:szCs w:val="21"/>
        </w:rPr>
      </w:pPr>
    </w:p>
    <w:p>
      <w:pPr>
        <w:pageBreakBefore w:val="0"/>
        <w:kinsoku/>
        <w:wordWrap w:val="0"/>
        <w:overflowPunct/>
        <w:topLinePunct/>
        <w:autoSpaceDE/>
        <w:autoSpaceDN/>
        <w:bidi w:val="0"/>
        <w:spacing w:line="400" w:lineRule="exact"/>
        <w:jc w:val="center"/>
        <w:textAlignment w:val="auto"/>
        <w:rPr>
          <w:rFonts w:hint="eastAsia" w:ascii="宋体" w:hAnsi="宋体" w:cs="宋体"/>
          <w:b/>
          <w:szCs w:val="21"/>
        </w:rPr>
      </w:pPr>
    </w:p>
    <w:p>
      <w:pPr>
        <w:pageBreakBefore w:val="0"/>
        <w:kinsoku/>
        <w:wordWrap w:val="0"/>
        <w:overflowPunct/>
        <w:topLinePunct/>
        <w:autoSpaceDE/>
        <w:autoSpaceDN/>
        <w:bidi w:val="0"/>
        <w:spacing w:line="400" w:lineRule="exact"/>
        <w:jc w:val="center"/>
        <w:textAlignment w:val="auto"/>
        <w:rPr>
          <w:rFonts w:hint="eastAsia" w:ascii="宋体" w:hAnsi="宋体" w:cs="宋体"/>
          <w:b/>
          <w:szCs w:val="21"/>
        </w:rPr>
      </w:pPr>
      <w:r>
        <w:rPr>
          <w:rFonts w:hint="eastAsia" w:ascii="宋体" w:hAnsi="宋体" w:cs="宋体"/>
          <w:b/>
          <w:szCs w:val="21"/>
        </w:rPr>
        <w:t>参加政府采购活动前 3 年内在经营活动中</w:t>
      </w:r>
    </w:p>
    <w:p>
      <w:pPr>
        <w:pageBreakBefore w:val="0"/>
        <w:kinsoku/>
        <w:wordWrap w:val="0"/>
        <w:overflowPunct/>
        <w:topLinePunct/>
        <w:autoSpaceDE/>
        <w:autoSpaceDN/>
        <w:bidi w:val="0"/>
        <w:spacing w:line="400" w:lineRule="exact"/>
        <w:jc w:val="center"/>
        <w:textAlignment w:val="auto"/>
        <w:rPr>
          <w:rFonts w:hint="eastAsia" w:ascii="宋体" w:hAnsi="宋体" w:cs="宋体"/>
          <w:b/>
          <w:szCs w:val="21"/>
        </w:rPr>
      </w:pPr>
      <w:r>
        <w:rPr>
          <w:rFonts w:hint="eastAsia" w:ascii="宋体" w:hAnsi="宋体" w:cs="宋体"/>
          <w:b/>
          <w:szCs w:val="21"/>
        </w:rPr>
        <w:t>没有重大违法记录的书面声明</w:t>
      </w:r>
    </w:p>
    <w:p>
      <w:pPr>
        <w:pageBreakBefore w:val="0"/>
        <w:kinsoku/>
        <w:wordWrap w:val="0"/>
        <w:overflowPunct/>
        <w:topLinePunct/>
        <w:autoSpaceDE/>
        <w:autoSpaceDN/>
        <w:bidi w:val="0"/>
        <w:spacing w:line="400" w:lineRule="exact"/>
        <w:textAlignment w:val="auto"/>
        <w:rPr>
          <w:rFonts w:hint="eastAsia" w:ascii="宋体" w:hAnsi="宋体" w:cs="宋体"/>
          <w:b/>
          <w:bCs/>
          <w:szCs w:val="21"/>
        </w:rPr>
      </w:pPr>
    </w:p>
    <w:p>
      <w:pPr>
        <w:pageBreakBefore w:val="0"/>
        <w:kinsoku/>
        <w:wordWrap w:val="0"/>
        <w:overflowPunct/>
        <w:topLinePunct/>
        <w:autoSpaceDE/>
        <w:autoSpaceDN/>
        <w:bidi w:val="0"/>
        <w:snapToGrid w:val="0"/>
        <w:spacing w:line="400" w:lineRule="exact"/>
        <w:ind w:firstLine="630" w:firstLineChars="300"/>
        <w:textAlignment w:val="auto"/>
        <w:rPr>
          <w:rFonts w:hint="eastAsia" w:ascii="宋体" w:hAnsi="宋体" w:cs="宋体"/>
          <w:szCs w:val="21"/>
        </w:rPr>
      </w:pPr>
      <w:r>
        <w:rPr>
          <w:rFonts w:hint="eastAsia" w:ascii="宋体" w:hAnsi="宋体" w:cs="宋体"/>
          <w:szCs w:val="21"/>
        </w:rPr>
        <w:t>我公司郑重声明：参加本次政府采购活动前 3 年内，我公司在经营活动中没有因违法经营受到刑事处罚或者责令停产停业、吊销许可证或者执照、较大数额罚款等行政处罚。</w:t>
      </w:r>
    </w:p>
    <w:p>
      <w:pPr>
        <w:pageBreakBefore w:val="0"/>
        <w:kinsoku/>
        <w:wordWrap w:val="0"/>
        <w:overflowPunct/>
        <w:topLinePunct/>
        <w:autoSpaceDE/>
        <w:autoSpaceDN/>
        <w:bidi w:val="0"/>
        <w:snapToGrid w:val="0"/>
        <w:spacing w:line="400" w:lineRule="exact"/>
        <w:textAlignment w:val="auto"/>
        <w:rPr>
          <w:rFonts w:hint="eastAsia" w:ascii="宋体" w:hAnsi="宋体" w:cs="宋体"/>
          <w:szCs w:val="21"/>
        </w:rPr>
      </w:pP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响应人名称（盖章）：</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法定代表人或代理人（签字或盖章）：_______________________</w:t>
      </w:r>
    </w:p>
    <w:p>
      <w:pPr>
        <w:pageBreakBefore w:val="0"/>
        <w:kinsoku/>
        <w:wordWrap w:val="0"/>
        <w:overflowPunct/>
        <w:topLinePunct/>
        <w:autoSpaceDE/>
        <w:autoSpaceDN/>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日期：______年月日</w:t>
      </w:r>
    </w:p>
    <w:p>
      <w:pPr>
        <w:pageBreakBefore w:val="0"/>
        <w:kinsoku/>
        <w:wordWrap w:val="0"/>
        <w:overflowPunct/>
        <w:topLinePunct/>
        <w:autoSpaceDE/>
        <w:autoSpaceDN/>
        <w:bidi w:val="0"/>
        <w:snapToGrid w:val="0"/>
        <w:spacing w:line="360" w:lineRule="auto"/>
        <w:textAlignment w:val="auto"/>
        <w:rPr>
          <w:rFonts w:hint="eastAsia" w:ascii="宋体" w:hAnsi="宋体" w:cs="宋体"/>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422"/>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0" w:firstLineChars="0"/>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0" w:firstLineChars="0"/>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0" w:firstLineChars="0"/>
        <w:textAlignment w:val="auto"/>
        <w:rPr>
          <w:rFonts w:hint="eastAsia" w:ascii="宋体" w:hAnsi="宋体" w:cs="宋体"/>
          <w:b/>
          <w:sz w:val="21"/>
          <w:szCs w:val="21"/>
        </w:rPr>
      </w:pPr>
    </w:p>
    <w:p>
      <w:pPr>
        <w:pStyle w:val="8"/>
        <w:pageBreakBefore w:val="0"/>
        <w:kinsoku/>
        <w:wordWrap w:val="0"/>
        <w:overflowPunct/>
        <w:topLinePunct/>
        <w:autoSpaceDE/>
        <w:autoSpaceDN/>
        <w:bidi w:val="0"/>
        <w:ind w:firstLine="0" w:firstLineChars="0"/>
        <w:jc w:val="left"/>
        <w:textAlignment w:val="auto"/>
        <w:rPr>
          <w:rFonts w:hint="eastAsia" w:ascii="宋体" w:hAnsi="宋体" w:cs="宋体"/>
          <w:b/>
          <w:sz w:val="21"/>
          <w:szCs w:val="21"/>
        </w:rPr>
      </w:pPr>
      <w:r>
        <w:rPr>
          <w:rFonts w:hint="eastAsia" w:ascii="宋体" w:hAnsi="宋体" w:cs="宋体"/>
          <w:b/>
          <w:sz w:val="21"/>
          <w:szCs w:val="21"/>
        </w:rPr>
        <w:br w:type="page"/>
      </w:r>
      <w:r>
        <w:rPr>
          <w:rFonts w:hint="eastAsia" w:ascii="宋体" w:hAnsi="宋体" w:cs="宋体"/>
          <w:b/>
          <w:sz w:val="21"/>
          <w:szCs w:val="21"/>
        </w:rPr>
        <w:t>附件五：</w:t>
      </w:r>
    </w:p>
    <w:bookmarkEnd w:id="6"/>
    <w:bookmarkEnd w:id="175"/>
    <w:bookmarkEnd w:id="176"/>
    <w:p>
      <w:pPr>
        <w:pageBreakBefore w:val="0"/>
        <w:kinsoku/>
        <w:wordWrap w:val="0"/>
        <w:overflowPunct/>
        <w:topLinePunct/>
        <w:autoSpaceDE/>
        <w:autoSpaceDN/>
        <w:bidi w:val="0"/>
        <w:spacing w:line="360" w:lineRule="auto"/>
        <w:jc w:val="center"/>
        <w:textAlignment w:val="auto"/>
        <w:rPr>
          <w:rFonts w:hint="eastAsia" w:ascii="宋体" w:hAnsi="宋体" w:cs="宋体"/>
          <w:b/>
          <w:szCs w:val="21"/>
        </w:rPr>
      </w:pPr>
      <w:r>
        <w:rPr>
          <w:rFonts w:hint="eastAsia" w:ascii="宋体" w:hAnsi="宋体" w:cs="宋体"/>
          <w:b/>
          <w:szCs w:val="21"/>
        </w:rPr>
        <w:t>开标一览表</w:t>
      </w:r>
    </w:p>
    <w:p>
      <w:pPr>
        <w:pageBreakBefore w:val="0"/>
        <w:kinsoku/>
        <w:wordWrap w:val="0"/>
        <w:overflowPunct/>
        <w:topLinePunct/>
        <w:autoSpaceDE/>
        <w:autoSpaceDN/>
        <w:bidi w:val="0"/>
        <w:snapToGrid w:val="0"/>
        <w:spacing w:line="360" w:lineRule="auto"/>
        <w:ind w:firstLine="420" w:firstLineChars="200"/>
        <w:textAlignment w:val="auto"/>
        <w:rPr>
          <w:rFonts w:hint="eastAsia" w:ascii="宋体" w:hAnsi="宋体" w:cs="宋体"/>
          <w:szCs w:val="21"/>
        </w:rPr>
      </w:pPr>
    </w:p>
    <w:p>
      <w:pPr>
        <w:pStyle w:val="4"/>
        <w:pageBreakBefore w:val="0"/>
        <w:kinsoku/>
        <w:wordWrap w:val="0"/>
        <w:overflowPunct/>
        <w:topLinePunct/>
        <w:autoSpaceDE/>
        <w:autoSpaceDN/>
        <w:bidi w:val="0"/>
        <w:jc w:val="right"/>
        <w:textAlignment w:val="auto"/>
        <w:rPr>
          <w:rFonts w:hint="eastAsia" w:ascii="宋体" w:hAnsi="宋体" w:eastAsia="宋体" w:cs="宋体"/>
          <w:sz w:val="21"/>
          <w:szCs w:val="21"/>
        </w:rPr>
      </w:pPr>
      <w:r>
        <w:rPr>
          <w:rFonts w:hint="eastAsia" w:ascii="宋体" w:hAnsi="宋体" w:cs="宋体"/>
          <w:szCs w:val="21"/>
        </w:rPr>
        <w:t xml:space="preserve">                                        </w:t>
      </w:r>
      <w:r>
        <w:rPr>
          <w:rFonts w:hint="eastAsia" w:ascii="宋体" w:hAnsi="宋体" w:eastAsia="宋体" w:cs="宋体"/>
          <w:sz w:val="21"/>
          <w:szCs w:val="21"/>
        </w:rPr>
        <w:t xml:space="preserve"> </w:t>
      </w:r>
      <w:bookmarkStart w:id="177" w:name="_Toc4787"/>
      <w:r>
        <w:rPr>
          <w:rFonts w:hint="eastAsia" w:ascii="宋体" w:hAnsi="宋体" w:eastAsia="宋体" w:cs="宋体"/>
          <w:sz w:val="21"/>
          <w:szCs w:val="21"/>
        </w:rPr>
        <w:t>价格单位：人民币（元）</w:t>
      </w:r>
      <w:bookmarkEnd w:id="177"/>
    </w:p>
    <w:p>
      <w:pPr>
        <w:pageBreakBefore w:val="0"/>
        <w:kinsoku/>
        <w:wordWrap w:val="0"/>
        <w:overflowPunct/>
        <w:topLinePunct/>
        <w:autoSpaceDE/>
        <w:autoSpaceDN/>
        <w:bidi w:val="0"/>
        <w:textAlignment w:val="auto"/>
        <w:rPr>
          <w:rFonts w:hint="eastAsia" w:ascii="宋体" w:hAnsi="宋体" w:cs="宋体"/>
          <w:szCs w:val="21"/>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940"/>
        <w:gridCol w:w="1701"/>
        <w:gridCol w:w="2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130" w:type="dxa"/>
            <w:noWrap w:val="0"/>
            <w:vAlign w:val="center"/>
          </w:tcPr>
          <w:p>
            <w:pPr>
              <w:pageBreakBefore w:val="0"/>
              <w:kinsoku/>
              <w:wordWrap w:val="0"/>
              <w:overflowPunct/>
              <w:topLinePunct/>
              <w:autoSpaceDE/>
              <w:autoSpaceDN/>
              <w:bidi w:val="0"/>
              <w:textAlignment w:val="auto"/>
              <w:rPr>
                <w:rFonts w:ascii="宋体" w:hAnsi="宋体" w:cs="宋体"/>
                <w:sz w:val="24"/>
              </w:rPr>
            </w:pPr>
            <w:r>
              <w:rPr>
                <w:rFonts w:hint="eastAsia" w:ascii="宋体" w:hAnsi="宋体" w:cs="宋体"/>
                <w:sz w:val="24"/>
              </w:rPr>
              <w:t>投标单位名称</w:t>
            </w:r>
          </w:p>
        </w:tc>
        <w:tc>
          <w:tcPr>
            <w:tcW w:w="7214" w:type="dxa"/>
            <w:gridSpan w:val="3"/>
            <w:noWrap w:val="0"/>
            <w:vAlign w:val="center"/>
          </w:tcPr>
          <w:p>
            <w:pPr>
              <w:pageBreakBefore w:val="0"/>
              <w:kinsoku/>
              <w:wordWrap w:val="0"/>
              <w:overflowPunct/>
              <w:topLinePunct/>
              <w:autoSpaceDE/>
              <w:autoSpaceDN/>
              <w:bidi w:val="0"/>
              <w:textAlignment w:val="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130" w:type="dxa"/>
            <w:noWrap w:val="0"/>
            <w:vAlign w:val="center"/>
          </w:tcPr>
          <w:p>
            <w:pPr>
              <w:pageBreakBefore w:val="0"/>
              <w:kinsoku/>
              <w:wordWrap w:val="0"/>
              <w:overflowPunct/>
              <w:topLinePunct/>
              <w:autoSpaceDE/>
              <w:autoSpaceDN/>
              <w:bidi w:val="0"/>
              <w:textAlignment w:val="auto"/>
              <w:rPr>
                <w:rFonts w:ascii="宋体" w:hAnsi="宋体" w:cs="宋体"/>
                <w:sz w:val="24"/>
              </w:rPr>
            </w:pPr>
            <w:r>
              <w:rPr>
                <w:rFonts w:hint="eastAsia" w:ascii="宋体" w:hAnsi="宋体" w:cs="宋体"/>
                <w:sz w:val="24"/>
              </w:rPr>
              <w:t>投标项目名称</w:t>
            </w:r>
          </w:p>
        </w:tc>
        <w:tc>
          <w:tcPr>
            <w:tcW w:w="7214" w:type="dxa"/>
            <w:gridSpan w:val="3"/>
            <w:noWrap w:val="0"/>
            <w:vAlign w:val="center"/>
          </w:tcPr>
          <w:p>
            <w:pPr>
              <w:pageBreakBefore w:val="0"/>
              <w:kinsoku/>
              <w:wordWrap w:val="0"/>
              <w:overflowPunct/>
              <w:topLinePunct/>
              <w:autoSpaceDE/>
              <w:autoSpaceDN/>
              <w:bidi w:val="0"/>
              <w:textAlignment w:val="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2130" w:type="dxa"/>
            <w:noWrap w:val="0"/>
            <w:vAlign w:val="center"/>
          </w:tcPr>
          <w:p>
            <w:pPr>
              <w:pageBreakBefore w:val="0"/>
              <w:kinsoku/>
              <w:wordWrap w:val="0"/>
              <w:overflowPunct/>
              <w:topLinePunct/>
              <w:autoSpaceDE/>
              <w:autoSpaceDN/>
              <w:bidi w:val="0"/>
              <w:textAlignment w:val="auto"/>
              <w:rPr>
                <w:rFonts w:hint="eastAsia" w:ascii="宋体" w:hAnsi="宋体" w:cs="宋体"/>
                <w:sz w:val="24"/>
              </w:rPr>
            </w:pPr>
            <w:r>
              <w:rPr>
                <w:rFonts w:hint="eastAsia" w:ascii="宋体" w:hAnsi="宋体" w:cs="宋体"/>
                <w:sz w:val="24"/>
              </w:rPr>
              <w:t>投标报价（元）</w:t>
            </w:r>
          </w:p>
        </w:tc>
        <w:tc>
          <w:tcPr>
            <w:tcW w:w="2940" w:type="dxa"/>
            <w:noWrap w:val="0"/>
            <w:vAlign w:val="center"/>
          </w:tcPr>
          <w:p>
            <w:pPr>
              <w:pageBreakBefore w:val="0"/>
              <w:kinsoku/>
              <w:wordWrap w:val="0"/>
              <w:overflowPunct/>
              <w:topLinePunct/>
              <w:autoSpaceDE/>
              <w:autoSpaceDN/>
              <w:bidi w:val="0"/>
              <w:textAlignment w:val="auto"/>
              <w:rPr>
                <w:rFonts w:ascii="宋体" w:hAnsi="宋体" w:cs="宋体"/>
                <w:sz w:val="24"/>
              </w:rPr>
            </w:pPr>
          </w:p>
        </w:tc>
        <w:tc>
          <w:tcPr>
            <w:tcW w:w="1701" w:type="dxa"/>
            <w:noWrap w:val="0"/>
            <w:vAlign w:val="center"/>
          </w:tcPr>
          <w:p>
            <w:pPr>
              <w:pageBreakBefore w:val="0"/>
              <w:kinsoku/>
              <w:wordWrap w:val="0"/>
              <w:overflowPunct/>
              <w:topLinePunct/>
              <w:autoSpaceDE/>
              <w:autoSpaceDN/>
              <w:bidi w:val="0"/>
              <w:textAlignment w:val="auto"/>
              <w:rPr>
                <w:rFonts w:ascii="宋体" w:hAnsi="宋体" w:cs="宋体"/>
                <w:sz w:val="24"/>
              </w:rPr>
            </w:pPr>
            <w:r>
              <w:rPr>
                <w:rFonts w:hint="eastAsia" w:ascii="宋体" w:hAnsi="宋体" w:cs="宋体"/>
                <w:sz w:val="24"/>
              </w:rPr>
              <w:t>施工工期</w:t>
            </w:r>
          </w:p>
        </w:tc>
        <w:tc>
          <w:tcPr>
            <w:tcW w:w="2573" w:type="dxa"/>
            <w:noWrap w:val="0"/>
            <w:vAlign w:val="center"/>
          </w:tcPr>
          <w:p>
            <w:pPr>
              <w:pageBreakBefore w:val="0"/>
              <w:kinsoku/>
              <w:wordWrap w:val="0"/>
              <w:overflowPunct/>
              <w:topLinePunct/>
              <w:autoSpaceDE/>
              <w:autoSpaceDN/>
              <w:bidi w:val="0"/>
              <w:textAlignment w:val="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130" w:type="dxa"/>
            <w:noWrap w:val="0"/>
            <w:vAlign w:val="center"/>
          </w:tcPr>
          <w:p>
            <w:pPr>
              <w:pageBreakBefore w:val="0"/>
              <w:kinsoku/>
              <w:wordWrap w:val="0"/>
              <w:overflowPunct/>
              <w:topLinePunct/>
              <w:autoSpaceDE/>
              <w:autoSpaceDN/>
              <w:bidi w:val="0"/>
              <w:textAlignment w:val="auto"/>
              <w:rPr>
                <w:rFonts w:ascii="宋体" w:hAnsi="宋体" w:cs="宋体"/>
                <w:sz w:val="24"/>
              </w:rPr>
            </w:pPr>
            <w:r>
              <w:rPr>
                <w:rFonts w:hint="eastAsia" w:ascii="宋体" w:hAnsi="宋体" w:cs="宋体"/>
                <w:sz w:val="24"/>
              </w:rPr>
              <w:t>质量等级</w:t>
            </w:r>
          </w:p>
        </w:tc>
        <w:tc>
          <w:tcPr>
            <w:tcW w:w="2940" w:type="dxa"/>
            <w:noWrap w:val="0"/>
            <w:vAlign w:val="center"/>
          </w:tcPr>
          <w:p>
            <w:pPr>
              <w:pageBreakBefore w:val="0"/>
              <w:kinsoku/>
              <w:wordWrap w:val="0"/>
              <w:overflowPunct/>
              <w:topLinePunct/>
              <w:autoSpaceDE/>
              <w:autoSpaceDN/>
              <w:bidi w:val="0"/>
              <w:textAlignment w:val="auto"/>
              <w:rPr>
                <w:rFonts w:ascii="宋体" w:hAnsi="宋体" w:cs="宋体"/>
                <w:sz w:val="24"/>
              </w:rPr>
            </w:pPr>
          </w:p>
        </w:tc>
        <w:tc>
          <w:tcPr>
            <w:tcW w:w="1701" w:type="dxa"/>
            <w:noWrap w:val="0"/>
            <w:vAlign w:val="center"/>
          </w:tcPr>
          <w:p>
            <w:pPr>
              <w:pageBreakBefore w:val="0"/>
              <w:kinsoku/>
              <w:wordWrap w:val="0"/>
              <w:overflowPunct/>
              <w:topLinePunct/>
              <w:autoSpaceDE/>
              <w:autoSpaceDN/>
              <w:bidi w:val="0"/>
              <w:textAlignment w:val="auto"/>
              <w:rPr>
                <w:rFonts w:ascii="宋体" w:hAnsi="宋体" w:cs="宋体"/>
                <w:sz w:val="24"/>
              </w:rPr>
            </w:pPr>
            <w:r>
              <w:rPr>
                <w:rFonts w:hint="eastAsia" w:ascii="宋体" w:hAnsi="宋体" w:cs="宋体"/>
                <w:sz w:val="24"/>
              </w:rPr>
              <w:t>项目经理</w:t>
            </w:r>
          </w:p>
        </w:tc>
        <w:tc>
          <w:tcPr>
            <w:tcW w:w="2573" w:type="dxa"/>
            <w:noWrap w:val="0"/>
            <w:vAlign w:val="center"/>
          </w:tcPr>
          <w:p>
            <w:pPr>
              <w:pageBreakBefore w:val="0"/>
              <w:kinsoku/>
              <w:wordWrap w:val="0"/>
              <w:overflowPunct/>
              <w:topLinePunct/>
              <w:autoSpaceDE/>
              <w:autoSpaceDN/>
              <w:bidi w:val="0"/>
              <w:textAlignment w:val="auto"/>
              <w:rPr>
                <w:rFonts w:ascii="宋体" w:hAnsi="宋体" w:cs="宋体"/>
                <w:sz w:val="24"/>
              </w:rPr>
            </w:pPr>
          </w:p>
        </w:tc>
      </w:tr>
    </w:tbl>
    <w:p>
      <w:pPr>
        <w:pageBreakBefore w:val="0"/>
        <w:kinsoku/>
        <w:wordWrap w:val="0"/>
        <w:overflowPunct/>
        <w:topLinePunct/>
        <w:autoSpaceDE/>
        <w:autoSpaceDN/>
        <w:bidi w:val="0"/>
        <w:textAlignment w:val="auto"/>
        <w:rPr>
          <w:rFonts w:hint="eastAsia" w:ascii="宋体" w:hAnsi="宋体" w:cs="宋体"/>
          <w:szCs w:val="21"/>
        </w:rPr>
      </w:pPr>
    </w:p>
    <w:p>
      <w:pPr>
        <w:pStyle w:val="5"/>
        <w:pageBreakBefore w:val="0"/>
        <w:kinsoku/>
        <w:wordWrap w:val="0"/>
        <w:overflowPunct/>
        <w:topLinePunct/>
        <w:autoSpaceDE/>
        <w:autoSpaceDN/>
        <w:bidi w:val="0"/>
        <w:textAlignment w:val="auto"/>
        <w:rPr>
          <w:rFonts w:hint="eastAsia"/>
        </w:rPr>
      </w:pPr>
    </w:p>
    <w:p>
      <w:pPr>
        <w:pageBreakBefore w:val="0"/>
        <w:kinsoku/>
        <w:wordWrap w:val="0"/>
        <w:overflowPunct/>
        <w:topLinePunct/>
        <w:autoSpaceDE/>
        <w:autoSpaceDN/>
        <w:bidi w:val="0"/>
        <w:snapToGrid w:val="0"/>
        <w:spacing w:line="360" w:lineRule="auto"/>
        <w:ind w:firstLine="420" w:firstLineChars="200"/>
        <w:textAlignment w:val="auto"/>
        <w:rPr>
          <w:rFonts w:hint="eastAsia" w:ascii="宋体" w:hAnsi="宋体" w:cs="宋体"/>
          <w:szCs w:val="21"/>
        </w:rPr>
      </w:pPr>
      <w:bookmarkStart w:id="178" w:name="_Toc288738396"/>
      <w:bookmarkStart w:id="179" w:name="_Toc288738838"/>
      <w:r>
        <w:rPr>
          <w:rFonts w:hint="eastAsia" w:ascii="宋体" w:hAnsi="宋体" w:cs="宋体"/>
          <w:szCs w:val="21"/>
        </w:rPr>
        <w:t>响应人名称（公章）：</w:t>
      </w:r>
    </w:p>
    <w:p>
      <w:pPr>
        <w:pageBreakBefore w:val="0"/>
        <w:kinsoku/>
        <w:wordWrap w:val="0"/>
        <w:overflowPunct/>
        <w:topLinePunct/>
        <w:autoSpaceDE/>
        <w:autoSpaceDN/>
        <w:bidi w:val="0"/>
        <w:snapToGrid w:val="0"/>
        <w:spacing w:line="360" w:lineRule="auto"/>
        <w:textAlignment w:val="auto"/>
        <w:rPr>
          <w:rFonts w:hint="eastAsia" w:ascii="宋体" w:hAnsi="宋体" w:cs="宋体"/>
          <w:szCs w:val="21"/>
        </w:rPr>
      </w:pPr>
      <w:r>
        <w:rPr>
          <w:rFonts w:hint="eastAsia" w:ascii="宋体" w:hAnsi="宋体" w:cs="宋体"/>
          <w:szCs w:val="21"/>
        </w:rPr>
        <w:t xml:space="preserve">   </w:t>
      </w:r>
    </w:p>
    <w:p>
      <w:pPr>
        <w:pageBreakBefore w:val="0"/>
        <w:kinsoku/>
        <w:wordWrap w:val="0"/>
        <w:overflowPunct/>
        <w:topLinePunct/>
        <w:autoSpaceDE/>
        <w:autoSpaceDN/>
        <w:bidi w:val="0"/>
        <w:snapToGrid w:val="0"/>
        <w:spacing w:line="360" w:lineRule="auto"/>
        <w:textAlignment w:val="auto"/>
        <w:rPr>
          <w:rFonts w:hint="eastAsia" w:ascii="宋体" w:hAnsi="宋体" w:cs="宋体"/>
          <w:szCs w:val="21"/>
        </w:rPr>
      </w:pPr>
      <w:r>
        <w:rPr>
          <w:rFonts w:hint="eastAsia" w:ascii="宋体" w:hAnsi="宋体" w:cs="宋体"/>
          <w:szCs w:val="21"/>
        </w:rPr>
        <w:t xml:space="preserve">    法定代表人或代理人（签字或盖章）：</w:t>
      </w:r>
    </w:p>
    <w:p>
      <w:pPr>
        <w:pageBreakBefore w:val="0"/>
        <w:kinsoku/>
        <w:wordWrap w:val="0"/>
        <w:overflowPunct/>
        <w:topLinePunct/>
        <w:autoSpaceDE/>
        <w:autoSpaceDN/>
        <w:bidi w:val="0"/>
        <w:snapToGrid w:val="0"/>
        <w:spacing w:line="360" w:lineRule="auto"/>
        <w:textAlignment w:val="auto"/>
        <w:rPr>
          <w:rFonts w:hint="eastAsia" w:ascii="宋体" w:hAnsi="宋体" w:cs="宋体"/>
          <w:szCs w:val="21"/>
        </w:rPr>
      </w:pPr>
      <w:r>
        <w:rPr>
          <w:rFonts w:hint="eastAsia" w:ascii="宋体" w:hAnsi="宋体" w:cs="宋体"/>
          <w:szCs w:val="21"/>
        </w:rPr>
        <w:t xml:space="preserve">    </w:t>
      </w:r>
    </w:p>
    <w:p>
      <w:pPr>
        <w:pageBreakBefore w:val="0"/>
        <w:kinsoku/>
        <w:wordWrap w:val="0"/>
        <w:overflowPunct/>
        <w:topLinePunct/>
        <w:autoSpaceDE/>
        <w:autoSpaceDN/>
        <w:bidi w:val="0"/>
        <w:snapToGrid w:val="0"/>
        <w:spacing w:line="360" w:lineRule="auto"/>
        <w:ind w:firstLine="420" w:firstLineChars="200"/>
        <w:textAlignment w:val="auto"/>
        <w:rPr>
          <w:rFonts w:hint="eastAsia" w:ascii="宋体" w:hAnsi="宋体" w:cs="宋体"/>
          <w:b/>
          <w:bCs/>
          <w:szCs w:val="21"/>
        </w:rPr>
        <w:sectPr>
          <w:headerReference r:id="rId8" w:type="first"/>
          <w:headerReference r:id="rId7" w:type="default"/>
          <w:footerReference r:id="rId9" w:type="default"/>
          <w:pgSz w:w="11906" w:h="16838"/>
          <w:pgMar w:top="1440" w:right="1134" w:bottom="1440" w:left="1134" w:header="851" w:footer="992" w:gutter="0"/>
          <w:cols w:space="720" w:num="1"/>
          <w:docGrid w:linePitch="312" w:charSpace="0"/>
        </w:sectPr>
      </w:pPr>
      <w:r>
        <w:rPr>
          <w:rFonts w:hint="eastAsia" w:ascii="宋体" w:hAnsi="宋体" w:cs="宋体"/>
          <w:szCs w:val="21"/>
        </w:rPr>
        <w:t>日期：______年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pPr>
        <w:pStyle w:val="4"/>
        <w:pageBreakBefore w:val="0"/>
        <w:kinsoku/>
        <w:wordWrap w:val="0"/>
        <w:overflowPunct/>
        <w:topLinePunct/>
        <w:autoSpaceDE/>
        <w:bidi w:val="0"/>
        <w:jc w:val="both"/>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分项报价明细表（工程量报价清单）</w:t>
      </w:r>
    </w:p>
    <w:tbl>
      <w:tblPr>
        <w:tblStyle w:val="23"/>
        <w:tblpPr w:leftFromText="180" w:rightFromText="180" w:vertAnchor="text" w:horzAnchor="page" w:tblpX="1532" w:tblpY="380"/>
        <w:tblOverlap w:val="never"/>
        <w:tblW w:w="4790" w:type="pct"/>
        <w:tblInd w:w="0" w:type="dxa"/>
        <w:tblLayout w:type="autofit"/>
        <w:tblCellMar>
          <w:top w:w="0" w:type="dxa"/>
          <w:left w:w="0" w:type="dxa"/>
          <w:bottom w:w="0" w:type="dxa"/>
          <w:right w:w="0" w:type="dxa"/>
        </w:tblCellMar>
      </w:tblPr>
      <w:tblGrid>
        <w:gridCol w:w="952"/>
        <w:gridCol w:w="2291"/>
        <w:gridCol w:w="1060"/>
        <w:gridCol w:w="3696"/>
        <w:gridCol w:w="1263"/>
      </w:tblGrid>
      <w:tr>
        <w:tblPrEx>
          <w:tblCellMar>
            <w:top w:w="0" w:type="dxa"/>
            <w:left w:w="0" w:type="dxa"/>
            <w:bottom w:w="0" w:type="dxa"/>
            <w:right w:w="0" w:type="dxa"/>
          </w:tblCellMar>
        </w:tblPrEx>
        <w:trPr>
          <w:trHeight w:val="90" w:hRule="atLeast"/>
        </w:trPr>
        <w:tc>
          <w:tcPr>
            <w:tcW w:w="5000" w:type="pct"/>
            <w:gridSpan w:val="5"/>
            <w:tcBorders>
              <w:top w:val="nil"/>
              <w:left w:val="nil"/>
              <w:bottom w:val="nil"/>
              <w:right w:val="nil"/>
            </w:tcBorders>
            <w:noWrap w:val="0"/>
            <w:tcMar>
              <w:top w:w="15" w:type="dxa"/>
              <w:left w:w="15" w:type="dxa"/>
              <w:right w:w="15" w:type="dxa"/>
            </w:tcMar>
            <w:vAlign w:val="bottom"/>
          </w:tcPr>
          <w:p>
            <w:pPr>
              <w:spacing w:line="480" w:lineRule="auto"/>
              <w:jc w:val="both"/>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000" w:type="pct"/>
            <w:gridSpan w:val="5"/>
            <w:tcBorders>
              <w:top w:val="nil"/>
              <w:left w:val="nil"/>
              <w:bottom w:val="nil"/>
              <w:right w:val="nil"/>
            </w:tcBorders>
            <w:noWrap w:val="0"/>
            <w:tcMar>
              <w:top w:w="15" w:type="dxa"/>
              <w:left w:w="15" w:type="dxa"/>
              <w:right w:w="15" w:type="dxa"/>
            </w:tcMar>
            <w:vAlign w:val="center"/>
          </w:tcPr>
          <w:p>
            <w:pPr>
              <w:keepNext w:val="0"/>
              <w:keepLines w:val="0"/>
              <w:widowControl/>
              <w:suppressLineNumbers w:val="0"/>
              <w:spacing w:line="480" w:lineRule="auto"/>
              <w:jc w:val="center"/>
              <w:textAlignment w:val="center"/>
              <w:rPr>
                <w:rFonts w:hint="eastAsia" w:ascii="宋体" w:hAnsi="宋体" w:eastAsia="宋体" w:cs="宋体"/>
                <w:b/>
                <w:i w:val="0"/>
                <w:color w:val="000000"/>
                <w:sz w:val="21"/>
                <w:szCs w:val="21"/>
                <w:highlight w:val="none"/>
                <w:u w:val="none"/>
              </w:rPr>
            </w:pPr>
            <w:r>
              <w:rPr>
                <w:rFonts w:hint="eastAsia" w:ascii="宋体" w:hAnsi="宋体" w:eastAsia="宋体" w:cs="宋体"/>
                <w:b/>
                <w:i w:val="0"/>
                <w:color w:val="000000"/>
                <w:kern w:val="0"/>
                <w:sz w:val="21"/>
                <w:szCs w:val="21"/>
                <w:highlight w:val="none"/>
                <w:u w:val="none"/>
                <w:lang w:val="en-US" w:eastAsia="zh-CN" w:bidi="ar"/>
              </w:rPr>
              <w:t>投 标 总 价</w:t>
            </w:r>
          </w:p>
        </w:tc>
      </w:tr>
      <w:tr>
        <w:tblPrEx>
          <w:tblCellMar>
            <w:top w:w="0" w:type="dxa"/>
            <w:left w:w="0" w:type="dxa"/>
            <w:bottom w:w="0" w:type="dxa"/>
            <w:right w:w="0" w:type="dxa"/>
          </w:tblCellMar>
        </w:tblPrEx>
        <w:trPr>
          <w:trHeight w:val="90" w:hRule="atLeast"/>
        </w:trPr>
        <w:tc>
          <w:tcPr>
            <w:tcW w:w="5000" w:type="pct"/>
            <w:gridSpan w:val="5"/>
            <w:tcBorders>
              <w:top w:val="nil"/>
              <w:left w:val="nil"/>
              <w:bottom w:val="nil"/>
              <w:right w:val="nil"/>
            </w:tcBorders>
            <w:noWrap w:val="0"/>
            <w:tcMar>
              <w:top w:w="15" w:type="dxa"/>
              <w:left w:w="15" w:type="dxa"/>
              <w:right w:w="15" w:type="dxa"/>
            </w:tcMar>
            <w:vAlign w:val="center"/>
          </w:tcPr>
          <w:p>
            <w:pPr>
              <w:spacing w:line="480" w:lineRule="auto"/>
              <w:jc w:val="both"/>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val="0"/>
            <w:tcMar>
              <w:top w:w="15" w:type="dxa"/>
              <w:left w:w="15" w:type="dxa"/>
              <w:right w:w="15" w:type="dxa"/>
            </w:tcMar>
            <w:vAlign w:val="bottom"/>
          </w:tcPr>
          <w:p>
            <w:pPr>
              <w:keepNext w:val="0"/>
              <w:keepLines w:val="0"/>
              <w:widowControl/>
              <w:suppressLineNumbers w:val="0"/>
              <w:spacing w:line="480" w:lineRule="auto"/>
              <w:jc w:val="center"/>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招　标　人:</w:t>
            </w:r>
          </w:p>
        </w:tc>
        <w:tc>
          <w:tcPr>
            <w:tcW w:w="2567" w:type="pct"/>
            <w:gridSpan w:val="2"/>
            <w:tcBorders>
              <w:top w:val="nil"/>
              <w:left w:val="nil"/>
              <w:bottom w:val="single" w:color="000000" w:sz="4" w:space="0"/>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tcMar>
              <w:top w:w="15" w:type="dxa"/>
              <w:left w:w="15" w:type="dxa"/>
              <w:right w:w="15" w:type="dxa"/>
            </w:tcMar>
            <w:vAlign w:val="bottom"/>
          </w:tcPr>
          <w:p>
            <w:pPr>
              <w:keepNext w:val="0"/>
              <w:keepLines w:val="0"/>
              <w:widowControl/>
              <w:suppressLineNumbers w:val="0"/>
              <w:spacing w:line="480" w:lineRule="auto"/>
              <w:jc w:val="center"/>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 程 名 称:</w:t>
            </w:r>
          </w:p>
        </w:tc>
        <w:tc>
          <w:tcPr>
            <w:tcW w:w="2567" w:type="pct"/>
            <w:gridSpan w:val="2"/>
            <w:tcBorders>
              <w:top w:val="single" w:color="000000" w:sz="4" w:space="0"/>
              <w:left w:val="nil"/>
              <w:bottom w:val="single" w:color="000000" w:sz="4" w:space="0"/>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809" w:type="pct"/>
            <w:gridSpan w:val="2"/>
            <w:tcBorders>
              <w:top w:val="nil"/>
              <w:left w:val="nil"/>
              <w:bottom w:val="nil"/>
              <w:right w:val="nil"/>
            </w:tcBorders>
            <w:noWrap w:val="0"/>
            <w:tcMar>
              <w:top w:w="15" w:type="dxa"/>
              <w:left w:w="15" w:type="dxa"/>
              <w:right w:w="15" w:type="dxa"/>
            </w:tcMar>
            <w:vAlign w:val="bottom"/>
          </w:tcPr>
          <w:p>
            <w:pPr>
              <w:keepNext w:val="0"/>
              <w:keepLines w:val="0"/>
              <w:widowControl/>
              <w:suppressLineNumbers w:val="0"/>
              <w:spacing w:line="480" w:lineRule="auto"/>
              <w:jc w:val="right"/>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投标总价（小写）：</w:t>
            </w:r>
          </w:p>
        </w:tc>
        <w:tc>
          <w:tcPr>
            <w:tcW w:w="1994" w:type="pct"/>
            <w:tcBorders>
              <w:top w:val="single" w:color="000000" w:sz="4" w:space="0"/>
              <w:left w:val="nil"/>
              <w:bottom w:val="single" w:color="000000" w:sz="4" w:space="0"/>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809" w:type="pct"/>
            <w:gridSpan w:val="2"/>
            <w:tcBorders>
              <w:top w:val="nil"/>
              <w:left w:val="nil"/>
              <w:bottom w:val="nil"/>
              <w:right w:val="nil"/>
            </w:tcBorders>
            <w:noWrap w:val="0"/>
            <w:tcMar>
              <w:top w:w="15" w:type="dxa"/>
              <w:left w:w="15" w:type="dxa"/>
              <w:right w:w="15" w:type="dxa"/>
            </w:tcMar>
            <w:vAlign w:val="bottom"/>
          </w:tcPr>
          <w:p>
            <w:pPr>
              <w:keepNext w:val="0"/>
              <w:keepLines w:val="0"/>
              <w:widowControl/>
              <w:suppressLineNumbers w:val="0"/>
              <w:spacing w:line="480" w:lineRule="auto"/>
              <w:jc w:val="right"/>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（大写）：</w:t>
            </w:r>
          </w:p>
        </w:tc>
        <w:tc>
          <w:tcPr>
            <w:tcW w:w="1994" w:type="pct"/>
            <w:tcBorders>
              <w:top w:val="nil"/>
              <w:left w:val="nil"/>
              <w:bottom w:val="single" w:color="000000" w:sz="4" w:space="0"/>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000" w:type="pct"/>
            <w:gridSpan w:val="5"/>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tcMar>
              <w:top w:w="15" w:type="dxa"/>
              <w:left w:w="15" w:type="dxa"/>
              <w:right w:w="15" w:type="dxa"/>
            </w:tcMar>
            <w:vAlign w:val="bottom"/>
          </w:tcPr>
          <w:p>
            <w:pPr>
              <w:keepNext w:val="0"/>
              <w:keepLines w:val="0"/>
              <w:widowControl/>
              <w:suppressLineNumbers w:val="0"/>
              <w:spacing w:line="480" w:lineRule="auto"/>
              <w:jc w:val="center"/>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投　标　人：</w:t>
            </w:r>
          </w:p>
        </w:tc>
        <w:tc>
          <w:tcPr>
            <w:tcW w:w="2567" w:type="pct"/>
            <w:gridSpan w:val="2"/>
            <w:tcBorders>
              <w:top w:val="nil"/>
              <w:left w:val="nil"/>
              <w:bottom w:val="single" w:color="000000" w:sz="4" w:space="0"/>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2567" w:type="pct"/>
            <w:gridSpan w:val="2"/>
            <w:tcBorders>
              <w:top w:val="single" w:color="000000" w:sz="4" w:space="0"/>
              <w:left w:val="nil"/>
              <w:bottom w:val="nil"/>
              <w:right w:val="nil"/>
            </w:tcBorders>
            <w:noWrap w:val="0"/>
            <w:tcMar>
              <w:top w:w="15" w:type="dxa"/>
              <w:left w:w="15" w:type="dxa"/>
              <w:right w:w="15" w:type="dxa"/>
            </w:tcMar>
            <w:vAlign w:val="center"/>
          </w:tcPr>
          <w:p>
            <w:pPr>
              <w:keepNext w:val="0"/>
              <w:keepLines w:val="0"/>
              <w:widowControl/>
              <w:suppressLineNumbers w:val="0"/>
              <w:spacing w:line="480" w:lineRule="auto"/>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（单位盖章）</w:t>
            </w: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000" w:type="pct"/>
            <w:gridSpan w:val="5"/>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val="0"/>
            <w:tcMar>
              <w:top w:w="15" w:type="dxa"/>
              <w:left w:w="15" w:type="dxa"/>
              <w:right w:w="15" w:type="dxa"/>
            </w:tcMar>
            <w:vAlign w:val="bottom"/>
          </w:tcPr>
          <w:p>
            <w:pPr>
              <w:keepNext w:val="0"/>
              <w:keepLines w:val="0"/>
              <w:widowControl/>
              <w:suppressLineNumbers w:val="0"/>
              <w:spacing w:line="480" w:lineRule="auto"/>
              <w:jc w:val="center"/>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法定代表人或其授权人</w:t>
            </w:r>
          </w:p>
        </w:tc>
        <w:tc>
          <w:tcPr>
            <w:tcW w:w="2567" w:type="pct"/>
            <w:gridSpan w:val="2"/>
            <w:tcBorders>
              <w:top w:val="nil"/>
              <w:left w:val="nil"/>
              <w:bottom w:val="single" w:color="000000" w:sz="4" w:space="0"/>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2567" w:type="pct"/>
            <w:gridSpan w:val="2"/>
            <w:tcBorders>
              <w:top w:val="single" w:color="000000" w:sz="4" w:space="0"/>
              <w:left w:val="nil"/>
              <w:bottom w:val="nil"/>
              <w:right w:val="nil"/>
            </w:tcBorders>
            <w:noWrap w:val="0"/>
            <w:tcMar>
              <w:top w:w="15" w:type="dxa"/>
              <w:left w:w="15" w:type="dxa"/>
              <w:right w:w="15" w:type="dxa"/>
            </w:tcMar>
            <w:vAlign w:val="center"/>
          </w:tcPr>
          <w:p>
            <w:pPr>
              <w:keepNext w:val="0"/>
              <w:keepLines w:val="0"/>
              <w:widowControl/>
              <w:suppressLineNumbers w:val="0"/>
              <w:spacing w:line="480" w:lineRule="auto"/>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（签字或盖章）</w:t>
            </w: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000" w:type="pct"/>
            <w:gridSpan w:val="5"/>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tcMar>
              <w:top w:w="15" w:type="dxa"/>
              <w:left w:w="15" w:type="dxa"/>
              <w:right w:w="15" w:type="dxa"/>
            </w:tcMar>
            <w:vAlign w:val="bottom"/>
          </w:tcPr>
          <w:p>
            <w:pPr>
              <w:keepNext w:val="0"/>
              <w:keepLines w:val="0"/>
              <w:widowControl/>
              <w:suppressLineNumbers w:val="0"/>
              <w:spacing w:line="480" w:lineRule="auto"/>
              <w:jc w:val="center"/>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编　制　人：</w:t>
            </w:r>
          </w:p>
        </w:tc>
        <w:tc>
          <w:tcPr>
            <w:tcW w:w="2567" w:type="pct"/>
            <w:gridSpan w:val="2"/>
            <w:tcBorders>
              <w:top w:val="nil"/>
              <w:left w:val="nil"/>
              <w:bottom w:val="single" w:color="000000" w:sz="4" w:space="0"/>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2567" w:type="pct"/>
            <w:gridSpan w:val="2"/>
            <w:tcBorders>
              <w:top w:val="single" w:color="000000" w:sz="4" w:space="0"/>
              <w:left w:val="nil"/>
              <w:bottom w:val="nil"/>
              <w:right w:val="nil"/>
            </w:tcBorders>
            <w:noWrap w:val="0"/>
            <w:tcMar>
              <w:top w:w="15" w:type="dxa"/>
              <w:left w:w="15" w:type="dxa"/>
              <w:right w:w="15" w:type="dxa"/>
            </w:tcMar>
            <w:vAlign w:val="center"/>
          </w:tcPr>
          <w:p>
            <w:pPr>
              <w:keepNext w:val="0"/>
              <w:keepLines w:val="0"/>
              <w:widowControl/>
              <w:suppressLineNumbers w:val="0"/>
              <w:spacing w:line="480" w:lineRule="auto"/>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w:t>
            </w: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000" w:type="pct"/>
            <w:gridSpan w:val="5"/>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90" w:hRule="atLeast"/>
        </w:trPr>
        <w:tc>
          <w:tcPr>
            <w:tcW w:w="514" w:type="pct"/>
            <w:tcBorders>
              <w:top w:val="nil"/>
              <w:left w:val="nil"/>
              <w:bottom w:val="nil"/>
              <w:right w:val="nil"/>
            </w:tcBorders>
            <w:noWrap w:val="0"/>
            <w:tcMar>
              <w:top w:w="15" w:type="dxa"/>
              <w:left w:w="15" w:type="dxa"/>
              <w:right w:w="15" w:type="dxa"/>
            </w:tcMar>
            <w:vAlign w:val="bottom"/>
          </w:tcPr>
          <w:p>
            <w:pPr>
              <w:spacing w:line="480" w:lineRule="auto"/>
              <w:jc w:val="center"/>
              <w:rPr>
                <w:rFonts w:hint="eastAsia" w:ascii="宋体" w:hAnsi="宋体" w:eastAsia="宋体" w:cs="宋体"/>
                <w:i w:val="0"/>
                <w:color w:val="000000"/>
                <w:sz w:val="21"/>
                <w:szCs w:val="21"/>
                <w:highlight w:val="none"/>
                <w:u w:val="none"/>
              </w:rPr>
            </w:pPr>
          </w:p>
        </w:tc>
        <w:tc>
          <w:tcPr>
            <w:tcW w:w="1237" w:type="pct"/>
            <w:tcBorders>
              <w:top w:val="nil"/>
              <w:left w:val="nil"/>
              <w:bottom w:val="nil"/>
              <w:right w:val="nil"/>
            </w:tcBorders>
            <w:noWrap w:val="0"/>
            <w:tcMar>
              <w:top w:w="15" w:type="dxa"/>
              <w:left w:w="15" w:type="dxa"/>
              <w:right w:w="15" w:type="dxa"/>
            </w:tcMar>
            <w:vAlign w:val="bottom"/>
          </w:tcPr>
          <w:p>
            <w:pPr>
              <w:keepNext w:val="0"/>
              <w:keepLines w:val="0"/>
              <w:widowControl/>
              <w:suppressLineNumbers w:val="0"/>
              <w:spacing w:line="480" w:lineRule="auto"/>
              <w:jc w:val="center"/>
              <w:textAlignment w:val="bottom"/>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时　　间：</w:t>
            </w:r>
          </w:p>
        </w:tc>
        <w:tc>
          <w:tcPr>
            <w:tcW w:w="2567" w:type="pct"/>
            <w:gridSpan w:val="2"/>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c>
          <w:tcPr>
            <w:tcW w:w="681" w:type="pct"/>
            <w:tcBorders>
              <w:top w:val="nil"/>
              <w:left w:val="nil"/>
              <w:bottom w:val="nil"/>
              <w:right w:val="nil"/>
            </w:tcBorders>
            <w:noWrap w:val="0"/>
            <w:tcMar>
              <w:top w:w="15" w:type="dxa"/>
              <w:left w:w="15" w:type="dxa"/>
              <w:right w:w="15" w:type="dxa"/>
            </w:tcMar>
            <w:vAlign w:val="bottom"/>
          </w:tcPr>
          <w:p>
            <w:pPr>
              <w:spacing w:line="480" w:lineRule="auto"/>
              <w:jc w:val="left"/>
              <w:rPr>
                <w:rFonts w:hint="eastAsia" w:ascii="宋体" w:hAnsi="宋体" w:eastAsia="宋体" w:cs="宋体"/>
                <w:i w:val="0"/>
                <w:color w:val="000000"/>
                <w:sz w:val="21"/>
                <w:szCs w:val="21"/>
                <w:highlight w:val="none"/>
                <w:u w:val="none"/>
              </w:rPr>
            </w:pPr>
          </w:p>
        </w:tc>
      </w:tr>
    </w:tbl>
    <w:p>
      <w:pPr>
        <w:pageBreakBefore w:val="0"/>
        <w:kinsoku/>
        <w:wordWrap w:val="0"/>
        <w:overflowPunct/>
        <w:topLinePunct/>
        <w:autoSpaceDE/>
        <w:bidi w:val="0"/>
        <w:textAlignment w:val="auto"/>
        <w:rPr>
          <w:rFonts w:hint="eastAsia" w:ascii="宋体" w:hAnsi="宋体" w:eastAsia="宋体" w:cs="宋体"/>
          <w:color w:val="auto"/>
          <w:sz w:val="21"/>
          <w:szCs w:val="21"/>
          <w:highlight w:val="none"/>
        </w:rPr>
      </w:pPr>
    </w:p>
    <w:p>
      <w:pPr>
        <w:pageBreakBefore w:val="0"/>
        <w:kinsoku/>
        <w:wordWrap w:val="0"/>
        <w:overflowPunct/>
        <w:topLinePunct/>
        <w:autoSpaceDE/>
        <w:bidi w:val="0"/>
        <w:textAlignment w:val="auto"/>
        <w:rPr>
          <w:rFonts w:hint="eastAsia" w:ascii="宋体" w:hAnsi="宋体" w:eastAsia="宋体" w:cs="宋体"/>
          <w:color w:val="auto"/>
          <w:sz w:val="21"/>
          <w:szCs w:val="21"/>
          <w:highlight w:val="none"/>
        </w:rPr>
      </w:pPr>
    </w:p>
    <w:p>
      <w:pPr>
        <w:pageBreakBefore w:val="0"/>
        <w:kinsoku/>
        <w:wordWrap w:val="0"/>
        <w:overflowPunct/>
        <w:topLinePunct/>
        <w:autoSpaceDE/>
        <w:bidi w:val="0"/>
        <w:textAlignment w:val="auto"/>
        <w:rPr>
          <w:rFonts w:hint="eastAsia" w:ascii="宋体" w:hAnsi="宋体" w:eastAsia="宋体" w:cs="宋体"/>
          <w:color w:val="auto"/>
          <w:sz w:val="21"/>
          <w:szCs w:val="21"/>
          <w:highlight w:val="none"/>
        </w:rPr>
      </w:pPr>
    </w:p>
    <w:p>
      <w:pPr>
        <w:pageBreakBefore w:val="0"/>
        <w:kinsoku/>
        <w:wordWrap w:val="0"/>
        <w:overflowPunct/>
        <w:topLinePunct/>
        <w:autoSpaceDE/>
        <w:bidi w:val="0"/>
        <w:textAlignment w:val="auto"/>
        <w:rPr>
          <w:rFonts w:hint="eastAsia" w:ascii="宋体" w:hAnsi="宋体" w:eastAsia="宋体" w:cs="宋体"/>
          <w:color w:val="auto"/>
          <w:sz w:val="21"/>
          <w:szCs w:val="21"/>
          <w:highlight w:val="none"/>
        </w:rPr>
      </w:pPr>
    </w:p>
    <w:p>
      <w:pPr>
        <w:pageBreakBefore w:val="0"/>
        <w:kinsoku/>
        <w:wordWrap w:val="0"/>
        <w:overflowPunct/>
        <w:topLinePunct/>
        <w:autoSpaceDE/>
        <w:bidi w:val="0"/>
        <w:textAlignment w:val="auto"/>
        <w:rPr>
          <w:rFonts w:hint="eastAsia" w:ascii="宋体" w:hAnsi="宋体" w:eastAsia="宋体" w:cs="宋体"/>
          <w:color w:val="auto"/>
          <w:sz w:val="21"/>
          <w:szCs w:val="21"/>
          <w:highlight w:val="none"/>
        </w:rPr>
      </w:pPr>
    </w:p>
    <w:p>
      <w:pPr>
        <w:pStyle w:val="47"/>
        <w:rPr>
          <w:rFonts w:hint="eastAsia" w:ascii="宋体" w:hAnsi="宋体" w:eastAsia="宋体" w:cs="宋体"/>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516"/>
        <w:gridCol w:w="2956"/>
        <w:gridCol w:w="1460"/>
        <w:gridCol w:w="1468"/>
        <w:gridCol w:w="2009"/>
        <w:gridCol w:w="1259"/>
      </w:tblGrid>
      <w:tr>
        <w:tblPrEx>
          <w:tblCellMar>
            <w:top w:w="0" w:type="dxa"/>
            <w:left w:w="0" w:type="dxa"/>
            <w:bottom w:w="0" w:type="dxa"/>
            <w:right w:w="0" w:type="dxa"/>
          </w:tblCellMar>
        </w:tblPrEx>
        <w:trPr>
          <w:trHeight w:val="870" w:hRule="atLeast"/>
        </w:trPr>
        <w:tc>
          <w:tcPr>
            <w:tcW w:w="5000" w:type="pct"/>
            <w:gridSpan w:val="6"/>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建设项目投标报价汇总表</w:t>
            </w:r>
          </w:p>
        </w:tc>
      </w:tr>
      <w:tr>
        <w:tblPrEx>
          <w:tblCellMar>
            <w:top w:w="0" w:type="dxa"/>
            <w:left w:w="0" w:type="dxa"/>
            <w:bottom w:w="0" w:type="dxa"/>
            <w:right w:w="0" w:type="dxa"/>
          </w:tblCellMar>
        </w:tblPrEx>
        <w:trPr>
          <w:trHeight w:val="585" w:hRule="atLeast"/>
        </w:trPr>
        <w:tc>
          <w:tcPr>
            <w:tcW w:w="3310" w:type="pct"/>
            <w:gridSpan w:val="4"/>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1039"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c>
          <w:tcPr>
            <w:tcW w:w="650"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7"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1529"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单项工程名称</w:t>
            </w:r>
          </w:p>
        </w:tc>
        <w:tc>
          <w:tcPr>
            <w:tcW w:w="755"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c>
          <w:tcPr>
            <w:tcW w:w="2447" w:type="pct"/>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其中</w:t>
            </w:r>
          </w:p>
        </w:tc>
      </w:tr>
      <w:tr>
        <w:tblPrEx>
          <w:tblCellMar>
            <w:top w:w="0" w:type="dxa"/>
            <w:left w:w="0" w:type="dxa"/>
            <w:bottom w:w="0" w:type="dxa"/>
            <w:right w:w="0" w:type="dxa"/>
          </w:tblCellMar>
        </w:tblPrEx>
        <w:trPr>
          <w:trHeight w:val="585" w:hRule="atLeast"/>
        </w:trPr>
        <w:tc>
          <w:tcPr>
            <w:tcW w:w="267"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29"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55"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5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暂估价(元)</w:t>
            </w:r>
          </w:p>
        </w:tc>
        <w:tc>
          <w:tcPr>
            <w:tcW w:w="10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安全文明施工费(元)</w:t>
            </w:r>
          </w:p>
        </w:tc>
        <w:tc>
          <w:tcPr>
            <w:tcW w:w="6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规费(元)</w:t>
            </w:r>
          </w:p>
        </w:tc>
      </w:tr>
      <w:tr>
        <w:tblPrEx>
          <w:tblCellMar>
            <w:top w:w="0" w:type="dxa"/>
            <w:left w:w="0" w:type="dxa"/>
            <w:bottom w:w="0" w:type="dxa"/>
            <w:right w:w="0" w:type="dxa"/>
          </w:tblCellMar>
        </w:tblPrEx>
        <w:trPr>
          <w:trHeight w:val="585" w:hRule="atLeast"/>
        </w:trPr>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7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75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5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总计</w:t>
            </w:r>
          </w:p>
        </w:tc>
        <w:tc>
          <w:tcPr>
            <w:tcW w:w="75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75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5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p>
      <w:pPr>
        <w:rPr>
          <w:rFonts w:hint="eastAsia" w:ascii="宋体" w:hAnsi="宋体" w:eastAsia="宋体" w:cs="宋体"/>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535"/>
        <w:gridCol w:w="2975"/>
        <w:gridCol w:w="1479"/>
        <w:gridCol w:w="1484"/>
        <w:gridCol w:w="1920"/>
        <w:gridCol w:w="1275"/>
      </w:tblGrid>
      <w:tr>
        <w:tblPrEx>
          <w:tblCellMar>
            <w:top w:w="0" w:type="dxa"/>
            <w:left w:w="0" w:type="dxa"/>
            <w:bottom w:w="0" w:type="dxa"/>
            <w:right w:w="0" w:type="dxa"/>
          </w:tblCellMar>
        </w:tblPrEx>
        <w:trPr>
          <w:trHeight w:val="870" w:hRule="atLeast"/>
        </w:trPr>
        <w:tc>
          <w:tcPr>
            <w:tcW w:w="5000" w:type="pct"/>
            <w:gridSpan w:val="6"/>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单项工程投标报价汇总表</w:t>
            </w:r>
          </w:p>
        </w:tc>
      </w:tr>
      <w:tr>
        <w:tblPrEx>
          <w:tblCellMar>
            <w:top w:w="0" w:type="dxa"/>
            <w:left w:w="0" w:type="dxa"/>
            <w:bottom w:w="0" w:type="dxa"/>
            <w:right w:w="0" w:type="dxa"/>
          </w:tblCellMar>
        </w:tblPrEx>
        <w:trPr>
          <w:trHeight w:val="585" w:hRule="atLeast"/>
        </w:trPr>
        <w:tc>
          <w:tcPr>
            <w:tcW w:w="3500" w:type="pct"/>
            <w:gridSpan w:val="4"/>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803"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c>
          <w:tcPr>
            <w:tcW w:w="695"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15"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1577"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单位工程名称</w:t>
            </w:r>
          </w:p>
        </w:tc>
        <w:tc>
          <w:tcPr>
            <w:tcW w:w="803"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c>
          <w:tcPr>
            <w:tcW w:w="2302" w:type="pct"/>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其中</w:t>
            </w:r>
          </w:p>
        </w:tc>
      </w:tr>
      <w:tr>
        <w:tblPrEx>
          <w:tblCellMar>
            <w:top w:w="0" w:type="dxa"/>
            <w:left w:w="0" w:type="dxa"/>
            <w:bottom w:w="0" w:type="dxa"/>
            <w:right w:w="0" w:type="dxa"/>
          </w:tblCellMar>
        </w:tblPrEx>
        <w:trPr>
          <w:trHeight w:val="585" w:hRule="atLeast"/>
        </w:trPr>
        <w:tc>
          <w:tcPr>
            <w:tcW w:w="315"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77"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03"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暂估价(元)</w:t>
            </w:r>
          </w:p>
        </w:tc>
        <w:tc>
          <w:tcPr>
            <w:tcW w:w="8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安全文明施工费(元)</w:t>
            </w:r>
          </w:p>
        </w:tc>
        <w:tc>
          <w:tcPr>
            <w:tcW w:w="6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规费(元)</w:t>
            </w:r>
          </w:p>
        </w:tc>
      </w:tr>
      <w:tr>
        <w:tblPrEx>
          <w:tblCellMar>
            <w:top w:w="0" w:type="dxa"/>
            <w:left w:w="0" w:type="dxa"/>
            <w:bottom w:w="0" w:type="dxa"/>
            <w:right w:w="0" w:type="dxa"/>
          </w:tblCellMar>
        </w:tblPrEx>
        <w:trPr>
          <w:trHeight w:val="585" w:hRule="atLeast"/>
        </w:trPr>
        <w:tc>
          <w:tcPr>
            <w:tcW w:w="31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9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1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9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1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9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1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9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1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57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9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897"/>
        <w:gridCol w:w="4496"/>
        <w:gridCol w:w="2291"/>
        <w:gridCol w:w="1984"/>
      </w:tblGrid>
      <w:tr>
        <w:tblPrEx>
          <w:tblCellMar>
            <w:top w:w="0" w:type="dxa"/>
            <w:left w:w="0" w:type="dxa"/>
            <w:bottom w:w="0" w:type="dxa"/>
            <w:right w:w="0" w:type="dxa"/>
          </w:tblCellMar>
        </w:tblPrEx>
        <w:trPr>
          <w:trHeight w:val="870" w:hRule="atLeast"/>
        </w:trPr>
        <w:tc>
          <w:tcPr>
            <w:tcW w:w="5000" w:type="pct"/>
            <w:gridSpan w:val="4"/>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单位工程投标报价汇总表</w:t>
            </w:r>
          </w:p>
        </w:tc>
      </w:tr>
      <w:tr>
        <w:tblPrEx>
          <w:tblCellMar>
            <w:top w:w="0" w:type="dxa"/>
            <w:left w:w="0" w:type="dxa"/>
            <w:bottom w:w="0" w:type="dxa"/>
            <w:right w:w="0" w:type="dxa"/>
          </w:tblCellMar>
        </w:tblPrEx>
        <w:trPr>
          <w:trHeight w:val="585" w:hRule="atLeast"/>
        </w:trPr>
        <w:tc>
          <w:tcPr>
            <w:tcW w:w="3974" w:type="pct"/>
            <w:gridSpan w:val="3"/>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1025"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2325"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汇总内容</w:t>
            </w:r>
          </w:p>
        </w:tc>
        <w:tc>
          <w:tcPr>
            <w:tcW w:w="1184"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c>
          <w:tcPr>
            <w:tcW w:w="1025"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其中:暂估价</w:t>
            </w:r>
          </w:p>
        </w:tc>
      </w:tr>
      <w:tr>
        <w:tblPrEx>
          <w:tblCellMar>
            <w:top w:w="0" w:type="dxa"/>
            <w:left w:w="0" w:type="dxa"/>
            <w:bottom w:w="0" w:type="dxa"/>
            <w:right w:w="0" w:type="dxa"/>
          </w:tblCellMar>
        </w:tblPrEx>
        <w:trPr>
          <w:trHeight w:val="585" w:hRule="atLeast"/>
        </w:trPr>
        <w:tc>
          <w:tcPr>
            <w:tcW w:w="464"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2325"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184"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025"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分部分项工程</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1.1</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人工费</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1.2</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材料费</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1.3</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施工机具使用费</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1.4</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企业管理费</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1.5</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利润</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措施项目</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2.1</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单价措施项目</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2.2</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总价措施项目</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2.2.1</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其中：安全文明施工措施费</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其他项目</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3.1</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xml:space="preserve">    其中：暂列金额</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3.2</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xml:space="preserve">    其中：专业工程暂估价</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3.3</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xml:space="preserve">    其中：计日工</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3.4</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xml:space="preserve">    其中：总承包服务费</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4</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规费</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5</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税金</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46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23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合计=1+2+3+4-除税甲供材料和除税甲供设备费/1.01+5</w:t>
            </w:r>
          </w:p>
        </w:tc>
        <w:tc>
          <w:tcPr>
            <w:tcW w:w="118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0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p>
      <w:pPr>
        <w:pStyle w:val="47"/>
        <w:ind w:left="0" w:leftChars="0" w:firstLine="0" w:firstLineChars="0"/>
        <w:rPr>
          <w:rFonts w:hint="eastAsia" w:ascii="宋体" w:hAnsi="宋体" w:eastAsia="宋体" w:cs="宋体"/>
          <w:sz w:val="21"/>
          <w:szCs w:val="21"/>
          <w:highlight w:val="none"/>
        </w:rPr>
      </w:pPr>
    </w:p>
    <w:tbl>
      <w:tblPr>
        <w:tblStyle w:val="23"/>
        <w:tblW w:w="4999" w:type="pct"/>
        <w:tblInd w:w="0" w:type="dxa"/>
        <w:tblLayout w:type="autofit"/>
        <w:tblCellMar>
          <w:top w:w="0" w:type="dxa"/>
          <w:left w:w="0" w:type="dxa"/>
          <w:bottom w:w="0" w:type="dxa"/>
          <w:right w:w="0" w:type="dxa"/>
        </w:tblCellMar>
      </w:tblPr>
      <w:tblGrid>
        <w:gridCol w:w="470"/>
        <w:gridCol w:w="1146"/>
        <w:gridCol w:w="1574"/>
        <w:gridCol w:w="2476"/>
        <w:gridCol w:w="516"/>
        <w:gridCol w:w="827"/>
        <w:gridCol w:w="1146"/>
        <w:gridCol w:w="592"/>
        <w:gridCol w:w="919"/>
      </w:tblGrid>
      <w:tr>
        <w:tblPrEx>
          <w:tblCellMar>
            <w:top w:w="0" w:type="dxa"/>
            <w:left w:w="0" w:type="dxa"/>
            <w:bottom w:w="0" w:type="dxa"/>
            <w:right w:w="0" w:type="dxa"/>
          </w:tblCellMar>
        </w:tblPrEx>
        <w:trPr>
          <w:trHeight w:val="870" w:hRule="atLeast"/>
        </w:trPr>
        <w:tc>
          <w:tcPr>
            <w:tcW w:w="5000" w:type="pct"/>
            <w:gridSpan w:val="9"/>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分部分项工程和单价措施项目清单与计价表</w:t>
            </w:r>
          </w:p>
        </w:tc>
      </w:tr>
      <w:tr>
        <w:tblPrEx>
          <w:tblCellMar>
            <w:top w:w="0" w:type="dxa"/>
            <w:left w:w="0" w:type="dxa"/>
            <w:bottom w:w="0" w:type="dxa"/>
            <w:right w:w="0" w:type="dxa"/>
          </w:tblCellMar>
        </w:tblPrEx>
        <w:trPr>
          <w:trHeight w:val="585" w:hRule="atLeast"/>
        </w:trPr>
        <w:tc>
          <w:tcPr>
            <w:tcW w:w="3626" w:type="pct"/>
            <w:gridSpan w:val="6"/>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593" w:type="pct"/>
            <w:tcBorders>
              <w:top w:val="nil"/>
              <w:left w:val="nil"/>
              <w:bottom w:val="nil"/>
              <w:right w:val="nil"/>
            </w:tcBorders>
            <w:noWrap/>
            <w:tcMar>
              <w:top w:w="15" w:type="dxa"/>
              <w:left w:w="15" w:type="dxa"/>
              <w:right w:w="15" w:type="dxa"/>
            </w:tcMar>
            <w:vAlign w:val="center"/>
          </w:tcPr>
          <w:p>
            <w:pPr>
              <w:jc w:val="center"/>
              <w:rPr>
                <w:rFonts w:hint="eastAsia" w:ascii="宋体" w:hAnsi="宋体" w:eastAsia="宋体" w:cs="宋体"/>
                <w:b/>
                <w:i w:val="0"/>
                <w:color w:val="000000"/>
                <w:sz w:val="21"/>
                <w:szCs w:val="21"/>
                <w:highlight w:val="none"/>
                <w:u w:val="none"/>
              </w:rPr>
            </w:pPr>
          </w:p>
        </w:tc>
        <w:tc>
          <w:tcPr>
            <w:tcW w:w="306" w:type="pct"/>
            <w:tcBorders>
              <w:top w:val="nil"/>
              <w:left w:val="nil"/>
              <w:bottom w:val="nil"/>
              <w:right w:val="nil"/>
            </w:tcBorders>
            <w:noWrap/>
            <w:tcMar>
              <w:top w:w="15" w:type="dxa"/>
              <w:left w:w="15" w:type="dxa"/>
              <w:right w:w="15" w:type="dxa"/>
            </w:tcMar>
            <w:vAlign w:val="center"/>
          </w:tcPr>
          <w:p>
            <w:pPr>
              <w:jc w:val="right"/>
              <w:rPr>
                <w:rFonts w:hint="eastAsia" w:ascii="宋体" w:hAnsi="宋体" w:eastAsia="宋体" w:cs="宋体"/>
                <w:b/>
                <w:i w:val="0"/>
                <w:color w:val="000000"/>
                <w:sz w:val="21"/>
                <w:szCs w:val="21"/>
                <w:highlight w:val="none"/>
                <w:u w:val="none"/>
              </w:rPr>
            </w:pPr>
          </w:p>
        </w:tc>
        <w:tc>
          <w:tcPr>
            <w:tcW w:w="472" w:type="pct"/>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593"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项目编码</w:t>
            </w:r>
          </w:p>
        </w:tc>
        <w:tc>
          <w:tcPr>
            <w:tcW w:w="814"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项目名称</w:t>
            </w:r>
          </w:p>
        </w:tc>
        <w:tc>
          <w:tcPr>
            <w:tcW w:w="1281"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项目特征描述</w:t>
            </w:r>
          </w:p>
        </w:tc>
        <w:tc>
          <w:tcPr>
            <w:tcW w:w="267"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计量单位</w:t>
            </w:r>
          </w:p>
        </w:tc>
        <w:tc>
          <w:tcPr>
            <w:tcW w:w="426"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工程量</w:t>
            </w:r>
          </w:p>
        </w:tc>
        <w:tc>
          <w:tcPr>
            <w:tcW w:w="1373" w:type="pct"/>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r>
      <w:tr>
        <w:tblPrEx>
          <w:tblCellMar>
            <w:top w:w="0" w:type="dxa"/>
            <w:left w:w="0" w:type="dxa"/>
            <w:bottom w:w="0" w:type="dxa"/>
            <w:right w:w="0" w:type="dxa"/>
          </w:tblCellMar>
        </w:tblPrEx>
        <w:trPr>
          <w:trHeight w:val="585" w:hRule="atLeast"/>
        </w:trPr>
        <w:tc>
          <w:tcPr>
            <w:tcW w:w="24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281"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267"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综合单价</w:t>
            </w: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合价</w:t>
            </w:r>
          </w:p>
        </w:tc>
        <w:tc>
          <w:tcPr>
            <w:tcW w:w="47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其中：</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eastAsia="宋体" w:cs="宋体"/>
                <w:i w:val="0"/>
                <w:color w:val="000000"/>
                <w:kern w:val="0"/>
                <w:sz w:val="21"/>
                <w:szCs w:val="21"/>
                <w:highlight w:val="none"/>
                <w:u w:val="none"/>
                <w:lang w:val="en-US" w:eastAsia="zh-CN" w:bidi="ar"/>
              </w:rPr>
              <w:t>暂估价</w:t>
            </w: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28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5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2"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sz w:val="21"/>
          <w:szCs w:val="21"/>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sz w:val="21"/>
          <w:szCs w:val="21"/>
          <w:highlight w:val="none"/>
        </w:rPr>
      </w:pPr>
    </w:p>
    <w:p>
      <w:pPr>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592"/>
        <w:gridCol w:w="642"/>
        <w:gridCol w:w="810"/>
        <w:gridCol w:w="3192"/>
        <w:gridCol w:w="2286"/>
        <w:gridCol w:w="217"/>
        <w:gridCol w:w="644"/>
        <w:gridCol w:w="628"/>
        <w:gridCol w:w="657"/>
      </w:tblGrid>
      <w:tr>
        <w:tblPrEx>
          <w:tblCellMar>
            <w:top w:w="0" w:type="dxa"/>
            <w:left w:w="0" w:type="dxa"/>
            <w:bottom w:w="0" w:type="dxa"/>
            <w:right w:w="0" w:type="dxa"/>
          </w:tblCellMar>
        </w:tblPrEx>
        <w:trPr>
          <w:trHeight w:val="870" w:hRule="atLeast"/>
        </w:trPr>
        <w:tc>
          <w:tcPr>
            <w:tcW w:w="5000" w:type="pct"/>
            <w:gridSpan w:val="9"/>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总价措施项目清单与计价表</w:t>
            </w:r>
          </w:p>
        </w:tc>
      </w:tr>
      <w:tr>
        <w:tblPrEx>
          <w:tblCellMar>
            <w:top w:w="0" w:type="dxa"/>
            <w:left w:w="0" w:type="dxa"/>
            <w:bottom w:w="0" w:type="dxa"/>
            <w:right w:w="0" w:type="dxa"/>
          </w:tblCellMar>
        </w:tblPrEx>
        <w:trPr>
          <w:trHeight w:val="585" w:hRule="atLeast"/>
        </w:trPr>
        <w:tc>
          <w:tcPr>
            <w:tcW w:w="3890" w:type="pct"/>
            <w:gridSpan w:val="5"/>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445" w:type="pct"/>
            <w:gridSpan w:val="2"/>
            <w:tcBorders>
              <w:top w:val="nil"/>
              <w:left w:val="nil"/>
              <w:bottom w:val="nil"/>
              <w:right w:val="nil"/>
            </w:tcBorders>
            <w:noWrap/>
            <w:tcMar>
              <w:top w:w="15" w:type="dxa"/>
              <w:left w:w="15" w:type="dxa"/>
              <w:right w:w="15" w:type="dxa"/>
            </w:tcMar>
            <w:vAlign w:val="bottom"/>
          </w:tcPr>
          <w:p>
            <w:pPr>
              <w:jc w:val="left"/>
              <w:rPr>
                <w:rFonts w:hint="eastAsia" w:ascii="宋体" w:hAnsi="宋体" w:eastAsia="宋体" w:cs="宋体"/>
                <w:b/>
                <w:i w:val="0"/>
                <w:color w:val="000000"/>
                <w:sz w:val="21"/>
                <w:szCs w:val="21"/>
                <w:highlight w:val="none"/>
                <w:u w:val="none"/>
              </w:rPr>
            </w:pPr>
          </w:p>
        </w:tc>
        <w:tc>
          <w:tcPr>
            <w:tcW w:w="663" w:type="pct"/>
            <w:gridSpan w:val="2"/>
            <w:tcBorders>
              <w:top w:val="nil"/>
              <w:left w:val="nil"/>
              <w:bottom w:val="nil"/>
              <w:right w:val="nil"/>
            </w:tcBorders>
            <w:noWrap/>
            <w:tcMar>
              <w:top w:w="15" w:type="dxa"/>
              <w:left w:w="15" w:type="dxa"/>
              <w:right w:w="15" w:type="dxa"/>
            </w:tcMar>
            <w:vAlign w:val="bottom"/>
          </w:tcPr>
          <w:p>
            <w:pPr>
              <w:jc w:val="lef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751" w:type="pct"/>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项目编码</w:t>
            </w:r>
          </w:p>
        </w:tc>
        <w:tc>
          <w:tcPr>
            <w:tcW w:w="1651"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项目名称</w:t>
            </w:r>
          </w:p>
        </w:tc>
        <w:tc>
          <w:tcPr>
            <w:tcW w:w="1180"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计算基础</w:t>
            </w:r>
          </w:p>
        </w:tc>
        <w:tc>
          <w:tcPr>
            <w:tcW w:w="445" w:type="pct"/>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费率(%)</w:t>
            </w:r>
          </w:p>
        </w:tc>
        <w:tc>
          <w:tcPr>
            <w:tcW w:w="663" w:type="pct"/>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r>
      <w:tr>
        <w:tblPrEx>
          <w:tblCellMar>
            <w:top w:w="0" w:type="dxa"/>
            <w:left w:w="0" w:type="dxa"/>
            <w:bottom w:w="0" w:type="dxa"/>
            <w:right w:w="0" w:type="dxa"/>
          </w:tblCellMar>
        </w:tblPrEx>
        <w:trPr>
          <w:trHeight w:val="585" w:hRule="atLeast"/>
        </w:trPr>
        <w:tc>
          <w:tcPr>
            <w:tcW w:w="306"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51"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651"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180"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445"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041109001001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安全文明施工</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[2]+[3]+[4]</w:t>
            </w: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安全文明施工基本费</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分部分项综合费用+单价措施项目综合费用-除税工程设备费</w:t>
            </w: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安全文明施工省级标化增加费:一星级</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分部分项综合费用+单价措施项目综合费用-除税工程设备费</w:t>
            </w: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4</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扬尘污染防治增加费</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分部分项综合费用+单价措施项目综合费用-除税工程设备费</w:t>
            </w: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5</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041109002001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夜间施工</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041109003001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二次搬运</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7</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041109004001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冬雨季施工</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8</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041109005001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行车、行人干扰</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9</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041109006001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地上、地下设施、建筑物的临时保护设施</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10</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041109007001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已完工程及设备保护</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11</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041109008001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临时设施</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12</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041109009001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赶工措施</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13</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041109010001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工程按质论价:市优工程</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14</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041109011001</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特殊条件下施工增加费</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15</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041109011002</w:t>
            </w: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建筑工人实名制费用</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16</w:t>
            </w:r>
          </w:p>
        </w:tc>
        <w:tc>
          <w:tcPr>
            <w:tcW w:w="751"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651"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w:t>
            </w:r>
          </w:p>
        </w:tc>
        <w:tc>
          <w:tcPr>
            <w:tcW w:w="118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[2]~[15]</w:t>
            </w:r>
          </w:p>
        </w:tc>
        <w:tc>
          <w:tcPr>
            <w:tcW w:w="445"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63"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870" w:hRule="atLeast"/>
        </w:trPr>
        <w:tc>
          <w:tcPr>
            <w:tcW w:w="5000" w:type="pct"/>
            <w:gridSpan w:val="9"/>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其他项目清单与计价汇总表</w:t>
            </w:r>
          </w:p>
        </w:tc>
      </w:tr>
      <w:tr>
        <w:tblPrEx>
          <w:tblCellMar>
            <w:top w:w="0" w:type="dxa"/>
            <w:left w:w="0" w:type="dxa"/>
            <w:bottom w:w="0" w:type="dxa"/>
            <w:right w:w="0" w:type="dxa"/>
          </w:tblCellMar>
        </w:tblPrEx>
        <w:trPr>
          <w:trHeight w:val="585" w:hRule="atLeast"/>
        </w:trPr>
        <w:tc>
          <w:tcPr>
            <w:tcW w:w="4658" w:type="pct"/>
            <w:gridSpan w:val="8"/>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341" w:type="pct"/>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3362" w:type="pct"/>
            <w:gridSpan w:val="4"/>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项目名称</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备注</w:t>
            </w: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3362" w:type="pct"/>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暂列金额</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3362" w:type="pct"/>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暂估价</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2.1</w:t>
            </w:r>
          </w:p>
        </w:tc>
        <w:tc>
          <w:tcPr>
            <w:tcW w:w="3362" w:type="pct"/>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材料（工程设备）暂估价</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2.2</w:t>
            </w:r>
          </w:p>
        </w:tc>
        <w:tc>
          <w:tcPr>
            <w:tcW w:w="3362" w:type="pct"/>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专业工程暂估价</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3362" w:type="pct"/>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计日工</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4</w:t>
            </w:r>
          </w:p>
        </w:tc>
        <w:tc>
          <w:tcPr>
            <w:tcW w:w="3362" w:type="pct"/>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总承包服务费</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63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3362" w:type="pct"/>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w:t>
            </w:r>
          </w:p>
        </w:tc>
        <w:tc>
          <w:tcPr>
            <w:tcW w:w="658" w:type="pct"/>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4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bl>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rPr>
          <w:rFonts w:hint="eastAsia"/>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980"/>
        <w:gridCol w:w="4196"/>
        <w:gridCol w:w="1210"/>
        <w:gridCol w:w="2432"/>
        <w:gridCol w:w="850"/>
      </w:tblGrid>
      <w:tr>
        <w:tblPrEx>
          <w:tblCellMar>
            <w:top w:w="0" w:type="dxa"/>
            <w:left w:w="0" w:type="dxa"/>
            <w:bottom w:w="0" w:type="dxa"/>
            <w:right w:w="0" w:type="dxa"/>
          </w:tblCellMar>
        </w:tblPrEx>
        <w:trPr>
          <w:trHeight w:val="870" w:hRule="atLeast"/>
        </w:trPr>
        <w:tc>
          <w:tcPr>
            <w:tcW w:w="5000" w:type="pct"/>
            <w:gridSpan w:val="5"/>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暂 列 金 额 明 细 表</w:t>
            </w:r>
          </w:p>
        </w:tc>
      </w:tr>
      <w:tr>
        <w:tblPrEx>
          <w:tblCellMar>
            <w:top w:w="0" w:type="dxa"/>
            <w:left w:w="0" w:type="dxa"/>
            <w:bottom w:w="0" w:type="dxa"/>
            <w:right w:w="0" w:type="dxa"/>
          </w:tblCellMar>
        </w:tblPrEx>
        <w:trPr>
          <w:trHeight w:val="585" w:hRule="atLeast"/>
        </w:trPr>
        <w:tc>
          <w:tcPr>
            <w:tcW w:w="4561" w:type="pct"/>
            <w:gridSpan w:val="4"/>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438" w:type="pct"/>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507"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2170"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项目名称</w:t>
            </w:r>
          </w:p>
        </w:tc>
        <w:tc>
          <w:tcPr>
            <w:tcW w:w="626"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计量单位</w:t>
            </w:r>
          </w:p>
        </w:tc>
        <w:tc>
          <w:tcPr>
            <w:tcW w:w="125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暂定金额(元)</w:t>
            </w:r>
          </w:p>
        </w:tc>
        <w:tc>
          <w:tcPr>
            <w:tcW w:w="438" w:type="pct"/>
            <w:tcBorders>
              <w:top w:val="single" w:color="000000" w:sz="4" w:space="0"/>
              <w:left w:val="nil"/>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备注</w:t>
            </w:r>
          </w:p>
        </w:tc>
      </w:tr>
      <w:tr>
        <w:tblPrEx>
          <w:tblCellMar>
            <w:top w:w="0" w:type="dxa"/>
            <w:left w:w="0" w:type="dxa"/>
            <w:bottom w:w="0" w:type="dxa"/>
            <w:right w:w="0" w:type="dxa"/>
          </w:tblCellMar>
        </w:tblPrEx>
        <w:trPr>
          <w:trHeight w:val="585" w:hRule="atLeast"/>
        </w:trPr>
        <w:tc>
          <w:tcPr>
            <w:tcW w:w="50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21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工程量清单中工程量偏差和设计变更</w:t>
            </w:r>
          </w:p>
        </w:tc>
        <w:tc>
          <w:tcPr>
            <w:tcW w:w="6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w:t>
            </w:r>
          </w:p>
        </w:tc>
        <w:tc>
          <w:tcPr>
            <w:tcW w:w="125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50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21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政策性调整和材料价格风险</w:t>
            </w:r>
          </w:p>
        </w:tc>
        <w:tc>
          <w:tcPr>
            <w:tcW w:w="6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w:t>
            </w:r>
          </w:p>
        </w:tc>
        <w:tc>
          <w:tcPr>
            <w:tcW w:w="125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50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21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预留金</w:t>
            </w:r>
          </w:p>
        </w:tc>
        <w:tc>
          <w:tcPr>
            <w:tcW w:w="6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w:t>
            </w:r>
          </w:p>
        </w:tc>
        <w:tc>
          <w:tcPr>
            <w:tcW w:w="125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50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21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w:t>
            </w:r>
          </w:p>
        </w:tc>
        <w:tc>
          <w:tcPr>
            <w:tcW w:w="6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25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bl>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580"/>
        <w:gridCol w:w="1245"/>
        <w:gridCol w:w="3538"/>
        <w:gridCol w:w="512"/>
        <w:gridCol w:w="652"/>
        <w:gridCol w:w="1245"/>
        <w:gridCol w:w="1245"/>
        <w:gridCol w:w="651"/>
      </w:tblGrid>
      <w:tr>
        <w:tblPrEx>
          <w:tblCellMar>
            <w:top w:w="0" w:type="dxa"/>
            <w:left w:w="0" w:type="dxa"/>
            <w:bottom w:w="0" w:type="dxa"/>
            <w:right w:w="0" w:type="dxa"/>
          </w:tblCellMar>
        </w:tblPrEx>
        <w:trPr>
          <w:trHeight w:val="870" w:hRule="atLeast"/>
        </w:trPr>
        <w:tc>
          <w:tcPr>
            <w:tcW w:w="5000" w:type="pct"/>
            <w:gridSpan w:val="8"/>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材料（工程设备）暂估单价表</w:t>
            </w:r>
          </w:p>
        </w:tc>
      </w:tr>
      <w:tr>
        <w:tblPrEx>
          <w:tblCellMar>
            <w:top w:w="0" w:type="dxa"/>
            <w:left w:w="0" w:type="dxa"/>
            <w:bottom w:w="0" w:type="dxa"/>
            <w:right w:w="0" w:type="dxa"/>
          </w:tblCellMar>
        </w:tblPrEx>
        <w:trPr>
          <w:trHeight w:val="585" w:hRule="atLeast"/>
        </w:trPr>
        <w:tc>
          <w:tcPr>
            <w:tcW w:w="3376" w:type="pct"/>
            <w:gridSpan w:val="5"/>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644" w:type="pct"/>
            <w:tcBorders>
              <w:top w:val="nil"/>
              <w:left w:val="nil"/>
              <w:bottom w:val="nil"/>
              <w:right w:val="nil"/>
            </w:tcBorders>
            <w:noWrap/>
            <w:tcMar>
              <w:top w:w="15" w:type="dxa"/>
              <w:left w:w="15" w:type="dxa"/>
              <w:right w:w="15" w:type="dxa"/>
            </w:tcMar>
            <w:vAlign w:val="center"/>
          </w:tcPr>
          <w:p>
            <w:pPr>
              <w:jc w:val="center"/>
              <w:rPr>
                <w:rFonts w:hint="eastAsia" w:ascii="宋体" w:hAnsi="宋体" w:eastAsia="宋体" w:cs="宋体"/>
                <w:b/>
                <w:i w:val="0"/>
                <w:color w:val="000000"/>
                <w:sz w:val="21"/>
                <w:szCs w:val="21"/>
                <w:highlight w:val="none"/>
                <w:u w:val="none"/>
              </w:rPr>
            </w:pPr>
          </w:p>
        </w:tc>
        <w:tc>
          <w:tcPr>
            <w:tcW w:w="644" w:type="pct"/>
            <w:tcBorders>
              <w:top w:val="nil"/>
              <w:left w:val="nil"/>
              <w:bottom w:val="nil"/>
              <w:right w:val="nil"/>
            </w:tcBorders>
            <w:noWrap/>
            <w:tcMar>
              <w:top w:w="15" w:type="dxa"/>
              <w:left w:w="15" w:type="dxa"/>
              <w:right w:w="15" w:type="dxa"/>
            </w:tcMar>
            <w:vAlign w:val="center"/>
          </w:tcPr>
          <w:p>
            <w:pPr>
              <w:jc w:val="right"/>
              <w:rPr>
                <w:rFonts w:hint="eastAsia" w:ascii="宋体" w:hAnsi="宋体" w:eastAsia="宋体" w:cs="宋体"/>
                <w:b/>
                <w:i w:val="0"/>
                <w:color w:val="000000"/>
                <w:sz w:val="21"/>
                <w:szCs w:val="21"/>
                <w:highlight w:val="none"/>
                <w:u w:val="none"/>
              </w:rPr>
            </w:pPr>
          </w:p>
        </w:tc>
        <w:tc>
          <w:tcPr>
            <w:tcW w:w="334" w:type="pct"/>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00"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644"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材料编码</w:t>
            </w:r>
          </w:p>
        </w:tc>
        <w:tc>
          <w:tcPr>
            <w:tcW w:w="1830"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材料（工程设备）名称、 规格、型号</w:t>
            </w:r>
          </w:p>
        </w:tc>
        <w:tc>
          <w:tcPr>
            <w:tcW w:w="265"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单位</w:t>
            </w:r>
          </w:p>
        </w:tc>
        <w:tc>
          <w:tcPr>
            <w:tcW w:w="334"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eastAsia="宋体" w:cs="宋体"/>
                <w:i w:val="0"/>
                <w:color w:val="000000"/>
                <w:kern w:val="0"/>
                <w:sz w:val="21"/>
                <w:szCs w:val="21"/>
                <w:highlight w:val="none"/>
                <w:u w:val="none"/>
                <w:lang w:val="en-US" w:eastAsia="zh-CN" w:bidi="ar"/>
              </w:rPr>
              <w:t>数量</w:t>
            </w:r>
          </w:p>
        </w:tc>
        <w:tc>
          <w:tcPr>
            <w:tcW w:w="6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单价(元)</w:t>
            </w:r>
          </w:p>
        </w:tc>
        <w:tc>
          <w:tcPr>
            <w:tcW w:w="6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合价(元)</w:t>
            </w:r>
          </w:p>
        </w:tc>
        <w:tc>
          <w:tcPr>
            <w:tcW w:w="334" w:type="pct"/>
            <w:tcBorders>
              <w:top w:val="single" w:color="000000" w:sz="4" w:space="0"/>
              <w:left w:val="nil"/>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备注</w:t>
            </w:r>
          </w:p>
        </w:tc>
      </w:tr>
      <w:tr>
        <w:tblPrEx>
          <w:tblCellMar>
            <w:top w:w="0" w:type="dxa"/>
            <w:left w:w="0" w:type="dxa"/>
            <w:bottom w:w="0" w:type="dxa"/>
            <w:right w:w="0" w:type="dxa"/>
          </w:tblCellMar>
        </w:tblPrEx>
        <w:trPr>
          <w:trHeight w:val="585" w:hRule="atLeast"/>
        </w:trPr>
        <w:tc>
          <w:tcPr>
            <w:tcW w:w="30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6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83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33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6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33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bl>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697"/>
        <w:gridCol w:w="2457"/>
        <w:gridCol w:w="3501"/>
        <w:gridCol w:w="1500"/>
        <w:gridCol w:w="1513"/>
      </w:tblGrid>
      <w:tr>
        <w:tblPrEx>
          <w:tblCellMar>
            <w:top w:w="0" w:type="dxa"/>
            <w:left w:w="0" w:type="dxa"/>
            <w:bottom w:w="0" w:type="dxa"/>
            <w:right w:w="0" w:type="dxa"/>
          </w:tblCellMar>
        </w:tblPrEx>
        <w:trPr>
          <w:trHeight w:val="900" w:hRule="atLeast"/>
        </w:trPr>
        <w:tc>
          <w:tcPr>
            <w:tcW w:w="5000" w:type="pct"/>
            <w:gridSpan w:val="5"/>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专 业 工 程 暂 估 价 表</w:t>
            </w:r>
          </w:p>
        </w:tc>
      </w:tr>
      <w:tr>
        <w:tblPrEx>
          <w:tblCellMar>
            <w:top w:w="0" w:type="dxa"/>
            <w:left w:w="0" w:type="dxa"/>
            <w:bottom w:w="0" w:type="dxa"/>
            <w:right w:w="0" w:type="dxa"/>
          </w:tblCellMar>
        </w:tblPrEx>
        <w:trPr>
          <w:trHeight w:val="345" w:hRule="atLeast"/>
        </w:trPr>
        <w:tc>
          <w:tcPr>
            <w:tcW w:w="3485" w:type="pct"/>
            <w:gridSpan w:val="3"/>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718" w:type="pct"/>
            <w:tcBorders>
              <w:top w:val="nil"/>
              <w:left w:val="nil"/>
              <w:bottom w:val="nil"/>
              <w:right w:val="nil"/>
            </w:tcBorders>
            <w:noWrap/>
            <w:tcMar>
              <w:top w:w="15" w:type="dxa"/>
              <w:left w:w="15" w:type="dxa"/>
              <w:right w:w="15" w:type="dxa"/>
            </w:tcMar>
            <w:vAlign w:val="center"/>
          </w:tcPr>
          <w:p>
            <w:pPr>
              <w:rPr>
                <w:rFonts w:hint="eastAsia" w:ascii="宋体" w:hAnsi="宋体" w:eastAsia="宋体" w:cs="宋体"/>
                <w:b/>
                <w:i w:val="0"/>
                <w:color w:val="000000"/>
                <w:sz w:val="21"/>
                <w:szCs w:val="21"/>
                <w:highlight w:val="none"/>
                <w:u w:val="none"/>
              </w:rPr>
            </w:pPr>
          </w:p>
        </w:tc>
        <w:tc>
          <w:tcPr>
            <w:tcW w:w="795" w:type="pct"/>
            <w:tcBorders>
              <w:top w:val="nil"/>
              <w:left w:val="nil"/>
              <w:bottom w:val="nil"/>
              <w:right w:val="nil"/>
            </w:tcBorders>
            <w:noWrap/>
            <w:tcMar>
              <w:top w:w="15" w:type="dxa"/>
              <w:left w:w="15" w:type="dxa"/>
              <w:right w:w="15" w:type="dxa"/>
            </w:tcMar>
            <w:vAlign w:val="center"/>
          </w:tcPr>
          <w:p>
            <w:pPr>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345" w:hRule="atLeast"/>
        </w:trPr>
        <w:tc>
          <w:tcPr>
            <w:tcW w:w="37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128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18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工程内容</w:t>
            </w:r>
          </w:p>
        </w:tc>
        <w:tc>
          <w:tcPr>
            <w:tcW w:w="71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暂估金额（元）</w:t>
            </w:r>
          </w:p>
        </w:tc>
        <w:tc>
          <w:tcPr>
            <w:tcW w:w="79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备注</w:t>
            </w:r>
          </w:p>
        </w:tc>
      </w:tr>
      <w:tr>
        <w:tblPrEx>
          <w:tblCellMar>
            <w:top w:w="0" w:type="dxa"/>
            <w:left w:w="0" w:type="dxa"/>
            <w:bottom w:w="0" w:type="dxa"/>
            <w:right w:w="0" w:type="dxa"/>
          </w:tblCellMar>
        </w:tblPrEx>
        <w:trPr>
          <w:trHeight w:val="495" w:hRule="atLeast"/>
        </w:trPr>
        <w:tc>
          <w:tcPr>
            <w:tcW w:w="3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8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18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71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7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495" w:hRule="atLeast"/>
        </w:trPr>
        <w:tc>
          <w:tcPr>
            <w:tcW w:w="37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28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w:t>
            </w:r>
          </w:p>
        </w:tc>
        <w:tc>
          <w:tcPr>
            <w:tcW w:w="182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71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79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r>
    </w:tbl>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bCs/>
          <w:color w:val="auto"/>
          <w:sz w:val="21"/>
          <w:szCs w:val="21"/>
          <w:highlight w:val="none"/>
        </w:rPr>
      </w:pPr>
    </w:p>
    <w:p>
      <w:pPr>
        <w:rPr>
          <w:rFonts w:hint="eastAsia" w:ascii="宋体" w:hAnsi="宋体" w:eastAsia="宋体" w:cs="宋体"/>
          <w:bCs/>
          <w:color w:val="auto"/>
          <w:sz w:val="21"/>
          <w:szCs w:val="21"/>
          <w:highlight w:val="none"/>
        </w:rPr>
      </w:pPr>
    </w:p>
    <w:p>
      <w:pPr>
        <w:pStyle w:val="47"/>
        <w:rPr>
          <w:rFonts w:hint="eastAsia" w:ascii="宋体" w:hAnsi="宋体" w:eastAsia="宋体" w:cs="宋体"/>
          <w:sz w:val="21"/>
          <w:szCs w:val="21"/>
          <w:highlight w:val="none"/>
        </w:rPr>
      </w:pPr>
    </w:p>
    <w:p>
      <w:pPr>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768"/>
        <w:gridCol w:w="3807"/>
        <w:gridCol w:w="1154"/>
        <w:gridCol w:w="1566"/>
        <w:gridCol w:w="1562"/>
        <w:gridCol w:w="811"/>
      </w:tblGrid>
      <w:tr>
        <w:tblPrEx>
          <w:tblCellMar>
            <w:top w:w="0" w:type="dxa"/>
            <w:left w:w="0" w:type="dxa"/>
            <w:bottom w:w="0" w:type="dxa"/>
            <w:right w:w="0" w:type="dxa"/>
          </w:tblCellMar>
        </w:tblPrEx>
        <w:trPr>
          <w:trHeight w:val="870" w:hRule="atLeast"/>
        </w:trPr>
        <w:tc>
          <w:tcPr>
            <w:tcW w:w="5000" w:type="pct"/>
            <w:gridSpan w:val="6"/>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  日  工  表</w:t>
            </w:r>
          </w:p>
        </w:tc>
      </w:tr>
      <w:tr>
        <w:tblPrEx>
          <w:tblCellMar>
            <w:top w:w="0" w:type="dxa"/>
            <w:left w:w="0" w:type="dxa"/>
            <w:bottom w:w="0" w:type="dxa"/>
            <w:right w:w="0" w:type="dxa"/>
          </w:tblCellMar>
        </w:tblPrEx>
        <w:trPr>
          <w:trHeight w:val="585" w:hRule="atLeast"/>
        </w:trPr>
        <w:tc>
          <w:tcPr>
            <w:tcW w:w="3773" w:type="pct"/>
            <w:gridSpan w:val="4"/>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808" w:type="pct"/>
            <w:tcBorders>
              <w:top w:val="nil"/>
              <w:left w:val="nil"/>
              <w:bottom w:val="nil"/>
              <w:right w:val="nil"/>
            </w:tcBorders>
            <w:noWrap/>
            <w:tcMar>
              <w:top w:w="15" w:type="dxa"/>
              <w:left w:w="15" w:type="dxa"/>
              <w:right w:w="15" w:type="dxa"/>
            </w:tcMar>
            <w:vAlign w:val="center"/>
          </w:tcPr>
          <w:p>
            <w:pPr>
              <w:jc w:val="center"/>
              <w:rPr>
                <w:rFonts w:hint="eastAsia" w:ascii="宋体" w:hAnsi="宋体" w:eastAsia="宋体" w:cs="宋体"/>
                <w:b/>
                <w:i w:val="0"/>
                <w:color w:val="000000"/>
                <w:sz w:val="21"/>
                <w:szCs w:val="21"/>
                <w:highlight w:val="none"/>
                <w:u w:val="none"/>
              </w:rPr>
            </w:pPr>
          </w:p>
        </w:tc>
        <w:tc>
          <w:tcPr>
            <w:tcW w:w="417" w:type="pct"/>
            <w:tcBorders>
              <w:top w:val="nil"/>
              <w:left w:val="nil"/>
              <w:bottom w:val="nil"/>
              <w:right w:val="nil"/>
            </w:tcBorders>
            <w:noWrap/>
            <w:tcMar>
              <w:top w:w="15" w:type="dxa"/>
              <w:left w:w="15" w:type="dxa"/>
              <w:right w:w="15" w:type="dxa"/>
            </w:tcMar>
            <w:vAlign w:val="center"/>
          </w:tcPr>
          <w:p>
            <w:pPr>
              <w:jc w:val="righ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编号</w:t>
            </w:r>
          </w:p>
        </w:tc>
        <w:tc>
          <w:tcPr>
            <w:tcW w:w="1969"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项目名称</w:t>
            </w:r>
          </w:p>
        </w:tc>
        <w:tc>
          <w:tcPr>
            <w:tcW w:w="597"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单位</w:t>
            </w:r>
          </w:p>
        </w:tc>
        <w:tc>
          <w:tcPr>
            <w:tcW w:w="808"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eastAsia="宋体" w:cs="宋体"/>
                <w:i w:val="0"/>
                <w:color w:val="000000"/>
                <w:kern w:val="0"/>
                <w:sz w:val="21"/>
                <w:szCs w:val="21"/>
                <w:highlight w:val="none"/>
                <w:u w:val="none"/>
                <w:lang w:val="en-US" w:eastAsia="zh-CN" w:bidi="ar"/>
              </w:rPr>
              <w:t>暂定数量</w:t>
            </w: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综合单价</w:t>
            </w: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合价</w:t>
            </w: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一</w:t>
            </w: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人工</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零星人工</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工日</w:t>
            </w: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二</w:t>
            </w: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材料</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零星材料</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m2</w:t>
            </w: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三</w:t>
            </w: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机械</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零星机械</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台班</w:t>
            </w: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四</w:t>
            </w: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管理费利润</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3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96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总计</w:t>
            </w:r>
          </w:p>
        </w:tc>
        <w:tc>
          <w:tcPr>
            <w:tcW w:w="5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80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p>
      <w:pPr>
        <w:pStyle w:val="47"/>
        <w:rPr>
          <w:rFonts w:hint="eastAsia" w:ascii="宋体" w:hAnsi="宋体" w:eastAsia="宋体" w:cs="宋体"/>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384"/>
        <w:gridCol w:w="1932"/>
        <w:gridCol w:w="1210"/>
        <w:gridCol w:w="3299"/>
        <w:gridCol w:w="1131"/>
        <w:gridCol w:w="799"/>
        <w:gridCol w:w="913"/>
      </w:tblGrid>
      <w:tr>
        <w:tblPrEx>
          <w:tblCellMar>
            <w:top w:w="0" w:type="dxa"/>
            <w:left w:w="0" w:type="dxa"/>
            <w:bottom w:w="0" w:type="dxa"/>
            <w:right w:w="0" w:type="dxa"/>
          </w:tblCellMar>
        </w:tblPrEx>
        <w:trPr>
          <w:trHeight w:val="870" w:hRule="atLeast"/>
        </w:trPr>
        <w:tc>
          <w:tcPr>
            <w:tcW w:w="5000" w:type="pct"/>
            <w:gridSpan w:val="7"/>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总 承 包 服 务 费 计 价 表</w:t>
            </w:r>
          </w:p>
        </w:tc>
      </w:tr>
      <w:tr>
        <w:tblPrEx>
          <w:tblCellMar>
            <w:top w:w="0" w:type="dxa"/>
            <w:left w:w="0" w:type="dxa"/>
            <w:bottom w:w="0" w:type="dxa"/>
            <w:right w:w="0" w:type="dxa"/>
          </w:tblCellMar>
        </w:tblPrEx>
        <w:trPr>
          <w:trHeight w:val="585" w:hRule="atLeast"/>
        </w:trPr>
        <w:tc>
          <w:tcPr>
            <w:tcW w:w="3530" w:type="pct"/>
            <w:gridSpan w:val="4"/>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585"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c>
          <w:tcPr>
            <w:tcW w:w="413" w:type="pct"/>
            <w:tcBorders>
              <w:top w:val="nil"/>
              <w:left w:val="nil"/>
              <w:bottom w:val="nil"/>
              <w:right w:val="nil"/>
            </w:tcBorders>
            <w:noWrap/>
            <w:tcMar>
              <w:top w:w="15" w:type="dxa"/>
              <w:left w:w="15" w:type="dxa"/>
              <w:right w:w="15" w:type="dxa"/>
            </w:tcMar>
            <w:vAlign w:val="center"/>
          </w:tcPr>
          <w:p>
            <w:pPr>
              <w:jc w:val="center"/>
              <w:rPr>
                <w:rFonts w:hint="eastAsia" w:ascii="宋体" w:hAnsi="宋体" w:eastAsia="宋体" w:cs="宋体"/>
                <w:b/>
                <w:i w:val="0"/>
                <w:color w:val="000000"/>
                <w:sz w:val="21"/>
                <w:szCs w:val="21"/>
                <w:highlight w:val="none"/>
                <w:u w:val="none"/>
              </w:rPr>
            </w:pPr>
          </w:p>
        </w:tc>
        <w:tc>
          <w:tcPr>
            <w:tcW w:w="470" w:type="pct"/>
            <w:tcBorders>
              <w:top w:val="nil"/>
              <w:left w:val="nil"/>
              <w:bottom w:val="nil"/>
              <w:right w:val="nil"/>
            </w:tcBorders>
            <w:noWrap/>
            <w:tcMar>
              <w:top w:w="15" w:type="dxa"/>
              <w:left w:w="15" w:type="dxa"/>
              <w:right w:w="15" w:type="dxa"/>
            </w:tcMar>
            <w:vAlign w:val="center"/>
          </w:tcPr>
          <w:p>
            <w:pPr>
              <w:jc w:val="righ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199"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999"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项目名称</w:t>
            </w:r>
          </w:p>
        </w:tc>
        <w:tc>
          <w:tcPr>
            <w:tcW w:w="626"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项目价值(元)</w:t>
            </w:r>
          </w:p>
        </w:tc>
        <w:tc>
          <w:tcPr>
            <w:tcW w:w="1705"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服务内容</w:t>
            </w:r>
          </w:p>
        </w:tc>
        <w:tc>
          <w:tcPr>
            <w:tcW w:w="585" w:type="pct"/>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计算基础</w:t>
            </w:r>
          </w:p>
        </w:tc>
        <w:tc>
          <w:tcPr>
            <w:tcW w:w="41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费率(%)</w:t>
            </w:r>
          </w:p>
        </w:tc>
        <w:tc>
          <w:tcPr>
            <w:tcW w:w="47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r>
      <w:tr>
        <w:tblPrEx>
          <w:tblCellMar>
            <w:top w:w="0" w:type="dxa"/>
            <w:left w:w="0" w:type="dxa"/>
            <w:bottom w:w="0" w:type="dxa"/>
            <w:right w:w="0" w:type="dxa"/>
          </w:tblCellMar>
        </w:tblPrEx>
        <w:trPr>
          <w:trHeight w:val="585" w:hRule="atLeast"/>
        </w:trPr>
        <w:tc>
          <w:tcPr>
            <w:tcW w:w="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9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发包人发包专业工程</w:t>
            </w:r>
          </w:p>
        </w:tc>
        <w:tc>
          <w:tcPr>
            <w:tcW w:w="6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70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8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9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发包人供应材料</w:t>
            </w:r>
          </w:p>
        </w:tc>
        <w:tc>
          <w:tcPr>
            <w:tcW w:w="6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170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8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99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w:t>
            </w:r>
          </w:p>
        </w:tc>
        <w:tc>
          <w:tcPr>
            <w:tcW w:w="6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[ 1 ]~[ 2 ]</w:t>
            </w:r>
          </w:p>
        </w:tc>
        <w:tc>
          <w:tcPr>
            <w:tcW w:w="170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8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7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tbl>
      <w:tblPr>
        <w:tblStyle w:val="23"/>
        <w:tblpPr w:leftFromText="180" w:rightFromText="180" w:vertAnchor="text" w:horzAnchor="page" w:tblpX="1122" w:tblpY="315"/>
        <w:tblOverlap w:val="never"/>
        <w:tblW w:w="5000" w:type="pct"/>
        <w:tblInd w:w="0" w:type="dxa"/>
        <w:tblLayout w:type="autofit"/>
        <w:tblCellMar>
          <w:top w:w="0" w:type="dxa"/>
          <w:left w:w="0" w:type="dxa"/>
          <w:bottom w:w="0" w:type="dxa"/>
          <w:right w:w="0" w:type="dxa"/>
        </w:tblCellMar>
      </w:tblPr>
      <w:tblGrid>
        <w:gridCol w:w="512"/>
        <w:gridCol w:w="2581"/>
        <w:gridCol w:w="2581"/>
        <w:gridCol w:w="1421"/>
        <w:gridCol w:w="1027"/>
        <w:gridCol w:w="1546"/>
      </w:tblGrid>
      <w:tr>
        <w:tblPrEx>
          <w:tblCellMar>
            <w:top w:w="0" w:type="dxa"/>
            <w:left w:w="0" w:type="dxa"/>
            <w:bottom w:w="0" w:type="dxa"/>
            <w:right w:w="0" w:type="dxa"/>
          </w:tblCellMar>
        </w:tblPrEx>
        <w:trPr>
          <w:trHeight w:val="870" w:hRule="atLeast"/>
        </w:trPr>
        <w:tc>
          <w:tcPr>
            <w:tcW w:w="5000" w:type="pct"/>
            <w:gridSpan w:val="6"/>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规 费、税 金 项 目 清 单</w:t>
            </w:r>
          </w:p>
        </w:tc>
      </w:tr>
      <w:tr>
        <w:tblPrEx>
          <w:tblCellMar>
            <w:top w:w="0" w:type="dxa"/>
            <w:left w:w="0" w:type="dxa"/>
            <w:bottom w:w="0" w:type="dxa"/>
            <w:right w:w="0" w:type="dxa"/>
          </w:tblCellMar>
        </w:tblPrEx>
        <w:trPr>
          <w:trHeight w:val="585" w:hRule="atLeast"/>
        </w:trPr>
        <w:tc>
          <w:tcPr>
            <w:tcW w:w="3670" w:type="pct"/>
            <w:gridSpan w:val="4"/>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531"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c>
          <w:tcPr>
            <w:tcW w:w="797"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1335"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项目名称</w:t>
            </w:r>
          </w:p>
        </w:tc>
        <w:tc>
          <w:tcPr>
            <w:tcW w:w="1335"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计算基础</w:t>
            </w:r>
          </w:p>
        </w:tc>
        <w:tc>
          <w:tcPr>
            <w:tcW w:w="734" w:type="pct"/>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计算基数</w:t>
            </w:r>
          </w:p>
        </w:tc>
        <w:tc>
          <w:tcPr>
            <w:tcW w:w="531"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计算费率(%)</w:t>
            </w:r>
          </w:p>
        </w:tc>
        <w:tc>
          <w:tcPr>
            <w:tcW w:w="797"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金额(元)</w:t>
            </w:r>
          </w:p>
        </w:tc>
      </w:tr>
      <w:tr>
        <w:tblPrEx>
          <w:tblCellMar>
            <w:top w:w="0" w:type="dxa"/>
            <w:left w:w="0" w:type="dxa"/>
            <w:bottom w:w="0" w:type="dxa"/>
            <w:right w:w="0" w:type="dxa"/>
          </w:tblCellMar>
        </w:tblPrEx>
        <w:trPr>
          <w:trHeight w:val="585" w:hRule="atLeast"/>
        </w:trPr>
        <w:tc>
          <w:tcPr>
            <w:tcW w:w="265"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335"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335"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34" w:type="pct"/>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31"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规费</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[ 1.1 ]~[ 1.4 ]</w:t>
            </w:r>
          </w:p>
        </w:tc>
        <w:tc>
          <w:tcPr>
            <w:tcW w:w="7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3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1.1</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社会保险费</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分部分项综合费用+措施项目合计+其他项目合计-除税工程设备费</w:t>
            </w:r>
          </w:p>
        </w:tc>
        <w:tc>
          <w:tcPr>
            <w:tcW w:w="7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3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1.2</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住房公积金</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分部分项综合费用+措施项目合计+其他项目合计-除税工程设备费</w:t>
            </w:r>
          </w:p>
        </w:tc>
        <w:tc>
          <w:tcPr>
            <w:tcW w:w="7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3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1.3</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环境保护税</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分部分项综合费用+措施项目合计+其他项目合计-除税工程设备费</w:t>
            </w:r>
          </w:p>
        </w:tc>
        <w:tc>
          <w:tcPr>
            <w:tcW w:w="7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3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1.4</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其他规费</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分部分项综合费用+措施项目合计+其他项目合计-除税工程设备费</w:t>
            </w:r>
          </w:p>
        </w:tc>
        <w:tc>
          <w:tcPr>
            <w:tcW w:w="7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3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税金</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分部分项综合费用+措施项目合计+其他项目合计+[ 1 ]-除税甲供材料费和除税甲供设备费/1.01</w:t>
            </w:r>
          </w:p>
        </w:tc>
        <w:tc>
          <w:tcPr>
            <w:tcW w:w="7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3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6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w:t>
            </w:r>
          </w:p>
        </w:tc>
        <w:tc>
          <w:tcPr>
            <w:tcW w:w="13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[ 1 ]+[ 2 ]</w:t>
            </w:r>
          </w:p>
        </w:tc>
        <w:tc>
          <w:tcPr>
            <w:tcW w:w="73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53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p>
      <w:pPr>
        <w:rPr>
          <w:rFonts w:hint="eastAsia" w:ascii="宋体" w:hAnsi="宋体" w:eastAsia="宋体" w:cs="宋体"/>
          <w:sz w:val="21"/>
          <w:szCs w:val="21"/>
        </w:rPr>
      </w:pPr>
    </w:p>
    <w:p>
      <w:pPr>
        <w:pStyle w:val="30"/>
        <w:rPr>
          <w:rFonts w:hint="eastAsia"/>
        </w:rPr>
      </w:pPr>
    </w:p>
    <w:p>
      <w:pPr>
        <w:pStyle w:val="4"/>
        <w:pageBreakBefore w:val="0"/>
        <w:kinsoku/>
        <w:wordWrap w:val="0"/>
        <w:overflowPunct/>
        <w:topLinePunct/>
        <w:autoSpaceDE/>
        <w:bidi w:val="0"/>
        <w:jc w:val="both"/>
        <w:textAlignment w:val="auto"/>
        <w:rPr>
          <w:rFonts w:hint="eastAsia" w:ascii="宋体" w:hAnsi="宋体" w:eastAsia="宋体" w:cs="宋体"/>
          <w:bCs/>
          <w:color w:val="auto"/>
          <w:sz w:val="21"/>
          <w:szCs w:val="21"/>
          <w:highlight w:val="none"/>
        </w:rPr>
      </w:pPr>
    </w:p>
    <w:tbl>
      <w:tblPr>
        <w:tblStyle w:val="23"/>
        <w:tblW w:w="5000" w:type="pct"/>
        <w:tblInd w:w="0" w:type="dxa"/>
        <w:tblLayout w:type="autofit"/>
        <w:tblCellMar>
          <w:top w:w="0" w:type="dxa"/>
          <w:left w:w="0" w:type="dxa"/>
          <w:bottom w:w="0" w:type="dxa"/>
          <w:right w:w="0" w:type="dxa"/>
        </w:tblCellMar>
      </w:tblPr>
      <w:tblGrid>
        <w:gridCol w:w="457"/>
        <w:gridCol w:w="983"/>
        <w:gridCol w:w="3160"/>
        <w:gridCol w:w="558"/>
        <w:gridCol w:w="537"/>
        <w:gridCol w:w="825"/>
        <w:gridCol w:w="555"/>
        <w:gridCol w:w="894"/>
        <w:gridCol w:w="895"/>
        <w:gridCol w:w="804"/>
      </w:tblGrid>
      <w:tr>
        <w:tblPrEx>
          <w:tblCellMar>
            <w:top w:w="0" w:type="dxa"/>
            <w:left w:w="0" w:type="dxa"/>
            <w:bottom w:w="0" w:type="dxa"/>
            <w:right w:w="0" w:type="dxa"/>
          </w:tblCellMar>
        </w:tblPrEx>
        <w:trPr>
          <w:trHeight w:val="870" w:hRule="atLeast"/>
        </w:trPr>
        <w:tc>
          <w:tcPr>
            <w:tcW w:w="5000" w:type="pct"/>
            <w:gridSpan w:val="10"/>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发包人提供材料和工程设备一览表</w:t>
            </w:r>
          </w:p>
        </w:tc>
      </w:tr>
      <w:tr>
        <w:tblPrEx>
          <w:tblCellMar>
            <w:top w:w="0" w:type="dxa"/>
            <w:left w:w="0" w:type="dxa"/>
            <w:bottom w:w="0" w:type="dxa"/>
            <w:right w:w="0" w:type="dxa"/>
          </w:tblCellMar>
        </w:tblPrEx>
        <w:trPr>
          <w:trHeight w:val="585" w:hRule="atLeast"/>
        </w:trPr>
        <w:tc>
          <w:tcPr>
            <w:tcW w:w="3375" w:type="pct"/>
            <w:gridSpan w:val="6"/>
            <w:tcBorders>
              <w:top w:val="nil"/>
              <w:left w:val="nil"/>
              <w:bottom w:val="single" w:color="000000" w:sz="4" w:space="0"/>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工程名称：</w:t>
            </w:r>
          </w:p>
        </w:tc>
        <w:tc>
          <w:tcPr>
            <w:tcW w:w="283"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c>
          <w:tcPr>
            <w:tcW w:w="463"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c>
          <w:tcPr>
            <w:tcW w:w="463"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c>
          <w:tcPr>
            <w:tcW w:w="412" w:type="pct"/>
            <w:tcBorders>
              <w:top w:val="nil"/>
              <w:left w:val="nil"/>
              <w:bottom w:val="nil"/>
              <w:right w:val="nil"/>
            </w:tcBorders>
            <w:noWrap/>
            <w:tcMar>
              <w:top w:w="15" w:type="dxa"/>
              <w:left w:w="15" w:type="dxa"/>
              <w:right w:w="15" w:type="dxa"/>
            </w:tcMar>
            <w:vAlign w:val="center"/>
          </w:tcPr>
          <w:p>
            <w:pPr>
              <w:jc w:val="left"/>
              <w:rPr>
                <w:rFonts w:hint="eastAsia" w:ascii="宋体" w:hAnsi="宋体" w:eastAsia="宋体" w:cs="宋体"/>
                <w:b/>
                <w:i w:val="0"/>
                <w:color w:val="000000"/>
                <w:sz w:val="21"/>
                <w:szCs w:val="21"/>
                <w:highlight w:val="none"/>
                <w:u w:val="none"/>
              </w:rPr>
            </w:pPr>
          </w:p>
        </w:tc>
      </w:tr>
      <w:tr>
        <w:tblPrEx>
          <w:tblCellMar>
            <w:top w:w="0" w:type="dxa"/>
            <w:left w:w="0" w:type="dxa"/>
            <w:bottom w:w="0" w:type="dxa"/>
            <w:right w:w="0" w:type="dxa"/>
          </w:tblCellMar>
        </w:tblPrEx>
        <w:trPr>
          <w:trHeight w:val="585" w:hRule="atLeast"/>
        </w:trPr>
        <w:tc>
          <w:tcPr>
            <w:tcW w:w="237"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509"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材料编码</w:t>
            </w:r>
          </w:p>
        </w:tc>
        <w:tc>
          <w:tcPr>
            <w:tcW w:w="1635"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材料(工程设备)</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eastAsia="宋体" w:cs="宋体"/>
                <w:i w:val="0"/>
                <w:color w:val="000000"/>
                <w:kern w:val="0"/>
                <w:sz w:val="21"/>
                <w:szCs w:val="21"/>
                <w:highlight w:val="none"/>
                <w:u w:val="none"/>
                <w:lang w:val="en-US" w:eastAsia="zh-CN" w:bidi="ar"/>
              </w:rPr>
              <w:t>名称、规格、型号</w:t>
            </w:r>
          </w:p>
        </w:tc>
        <w:tc>
          <w:tcPr>
            <w:tcW w:w="289"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单位</w:t>
            </w:r>
          </w:p>
        </w:tc>
        <w:tc>
          <w:tcPr>
            <w:tcW w:w="278"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数量</w:t>
            </w:r>
          </w:p>
        </w:tc>
        <w:tc>
          <w:tcPr>
            <w:tcW w:w="425"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单价(元）</w:t>
            </w:r>
          </w:p>
        </w:tc>
        <w:tc>
          <w:tcPr>
            <w:tcW w:w="283"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合价(元）</w:t>
            </w:r>
          </w:p>
        </w:tc>
        <w:tc>
          <w:tcPr>
            <w:tcW w:w="463"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交货方式</w:t>
            </w:r>
          </w:p>
        </w:tc>
        <w:tc>
          <w:tcPr>
            <w:tcW w:w="463"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送达地点</w:t>
            </w:r>
          </w:p>
        </w:tc>
        <w:tc>
          <w:tcPr>
            <w:tcW w:w="412"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备注</w:t>
            </w:r>
          </w:p>
        </w:tc>
      </w:tr>
      <w:tr>
        <w:tblPrEx>
          <w:tblCellMar>
            <w:top w:w="0" w:type="dxa"/>
            <w:left w:w="0" w:type="dxa"/>
            <w:bottom w:w="0" w:type="dxa"/>
            <w:right w:w="0" w:type="dxa"/>
          </w:tblCellMar>
        </w:tblPrEx>
        <w:trPr>
          <w:trHeight w:val="450" w:hRule="atLeast"/>
        </w:trPr>
        <w:tc>
          <w:tcPr>
            <w:tcW w:w="23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50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6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c>
          <w:tcPr>
            <w:tcW w:w="28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27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2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2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6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6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c>
          <w:tcPr>
            <w:tcW w:w="412"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hint="eastAsia" w:ascii="宋体" w:hAnsi="宋体" w:eastAsia="宋体" w:cs="宋体"/>
                <w:i w:val="0"/>
                <w:color w:val="000000"/>
                <w:sz w:val="21"/>
                <w:szCs w:val="21"/>
                <w:highlight w:val="none"/>
                <w:u w:val="none"/>
              </w:rPr>
            </w:pPr>
          </w:p>
        </w:tc>
      </w:tr>
    </w:tbl>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p>
    <w:p>
      <w:pPr>
        <w:pageBreakBefore w:val="0"/>
        <w:kinsoku/>
        <w:wordWrap w:val="0"/>
        <w:overflowPunct/>
        <w:topLinePunct/>
        <w:autoSpaceDE/>
        <w:autoSpaceDN/>
        <w:bidi w:val="0"/>
        <w:spacing w:line="460" w:lineRule="exact"/>
        <w:textAlignment w:val="auto"/>
        <w:rPr>
          <w:rFonts w:hint="eastAsia" w:ascii="宋体" w:hAnsi="宋体" w:cs="宋体"/>
          <w:b/>
          <w:bCs/>
          <w:szCs w:val="21"/>
        </w:rPr>
      </w:pPr>
      <w:r>
        <w:rPr>
          <w:rFonts w:hint="eastAsia" w:ascii="宋体" w:hAnsi="宋体" w:cs="宋体"/>
          <w:b/>
          <w:bCs/>
          <w:szCs w:val="21"/>
        </w:rPr>
        <w:t>附件</w:t>
      </w:r>
      <w:r>
        <w:rPr>
          <w:rFonts w:hint="eastAsia" w:ascii="宋体" w:hAnsi="宋体" w:cs="宋体"/>
          <w:b/>
          <w:bCs/>
          <w:szCs w:val="21"/>
          <w:lang w:val="en-US" w:eastAsia="zh-CN"/>
        </w:rPr>
        <w:t>六</w:t>
      </w:r>
      <w:r>
        <w:rPr>
          <w:rFonts w:hint="eastAsia" w:ascii="宋体" w:hAnsi="宋体" w:cs="宋体"/>
          <w:b/>
          <w:bCs/>
          <w:szCs w:val="21"/>
        </w:rPr>
        <w:t>：响应人</w:t>
      </w:r>
      <w:r>
        <w:rPr>
          <w:rFonts w:hint="eastAsia" w:ascii="宋体" w:hAnsi="宋体" w:cs="宋体"/>
          <w:b/>
          <w:bCs/>
          <w:szCs w:val="28"/>
        </w:rPr>
        <w:t>基本资格</w:t>
      </w:r>
      <w:r>
        <w:rPr>
          <w:rFonts w:hint="eastAsia" w:ascii="宋体" w:hAnsi="宋体" w:cs="宋体"/>
          <w:b/>
          <w:bCs/>
          <w:szCs w:val="21"/>
        </w:rPr>
        <w:t>要求材料格式</w:t>
      </w:r>
    </w:p>
    <w:p>
      <w:pPr>
        <w:pageBreakBefore w:val="0"/>
        <w:kinsoku/>
        <w:wordWrap w:val="0"/>
        <w:overflowPunct/>
        <w:topLinePunct/>
        <w:autoSpaceDE/>
        <w:autoSpaceDN/>
        <w:bidi w:val="0"/>
        <w:ind w:firstLine="2730" w:firstLineChars="1300"/>
        <w:textAlignment w:val="auto"/>
        <w:rPr>
          <w:rFonts w:hint="eastAsia" w:ascii="宋体" w:hAnsi="宋体" w:cs="宋体"/>
          <w:szCs w:val="21"/>
        </w:rPr>
      </w:pPr>
    </w:p>
    <w:p>
      <w:pPr>
        <w:pageBreakBefore w:val="0"/>
        <w:kinsoku/>
        <w:wordWrap w:val="0"/>
        <w:overflowPunct/>
        <w:topLinePunct/>
        <w:autoSpaceDE/>
        <w:autoSpaceDN/>
        <w:bidi w:val="0"/>
        <w:ind w:firstLine="3373" w:firstLineChars="1600"/>
        <w:textAlignment w:val="auto"/>
        <w:rPr>
          <w:rFonts w:hint="eastAsia" w:ascii="宋体" w:hAnsi="宋体" w:cs="宋体"/>
          <w:b/>
          <w:bCs/>
          <w:szCs w:val="21"/>
        </w:rPr>
      </w:pPr>
      <w:r>
        <w:rPr>
          <w:rFonts w:hint="eastAsia" w:ascii="宋体" w:hAnsi="宋体" w:cs="宋体"/>
          <w:b/>
          <w:bCs/>
          <w:szCs w:val="21"/>
        </w:rPr>
        <w:t>响应人资格审查一览表</w:t>
      </w:r>
    </w:p>
    <w:p>
      <w:pPr>
        <w:pageBreakBefore w:val="0"/>
        <w:kinsoku/>
        <w:wordWrap w:val="0"/>
        <w:overflowPunct/>
        <w:topLinePunct/>
        <w:autoSpaceDE/>
        <w:autoSpaceDN/>
        <w:bidi w:val="0"/>
        <w:spacing w:line="460" w:lineRule="exact"/>
        <w:textAlignment w:val="auto"/>
        <w:rPr>
          <w:rFonts w:hint="eastAsia" w:ascii="宋体" w:hAnsi="宋体" w:cs="宋体"/>
          <w:szCs w:val="21"/>
        </w:rPr>
      </w:pPr>
      <w:r>
        <w:rPr>
          <w:rFonts w:hint="eastAsia" w:ascii="宋体" w:hAnsi="宋体" w:cs="宋体"/>
          <w:szCs w:val="21"/>
          <w:lang w:eastAsia="zh-CN"/>
        </w:rPr>
        <w:t>江苏和润工程项目管理有限公司</w:t>
      </w:r>
      <w:r>
        <w:rPr>
          <w:rFonts w:hint="eastAsia" w:ascii="宋体" w:hAnsi="宋体" w:cs="宋体"/>
          <w:szCs w:val="21"/>
        </w:rPr>
        <w:t>：</w:t>
      </w:r>
    </w:p>
    <w:p>
      <w:pPr>
        <w:pageBreakBefore w:val="0"/>
        <w:kinsoku/>
        <w:wordWrap w:val="0"/>
        <w:overflowPunct/>
        <w:topLinePunct/>
        <w:autoSpaceDE/>
        <w:autoSpaceDN/>
        <w:bidi w:val="0"/>
        <w:spacing w:line="460" w:lineRule="exact"/>
        <w:ind w:firstLine="420" w:firstLineChars="200"/>
        <w:textAlignment w:val="auto"/>
        <w:rPr>
          <w:rFonts w:hint="eastAsia"/>
        </w:rPr>
      </w:pPr>
      <w:r>
        <w:rPr>
          <w:rFonts w:hint="eastAsia" w:ascii="宋体" w:hAnsi="宋体" w:cs="宋体"/>
          <w:szCs w:val="21"/>
        </w:rPr>
        <w:t>贵中心组织的编号</w:t>
      </w:r>
      <w:r>
        <w:rPr>
          <w:rFonts w:hint="eastAsia" w:ascii="宋体" w:hAnsi="宋体" w:cs="宋体"/>
          <w:szCs w:val="21"/>
          <w:u w:val="single"/>
        </w:rPr>
        <w:t xml:space="preserve">         号</w:t>
      </w:r>
      <w:r>
        <w:rPr>
          <w:rFonts w:hint="eastAsia" w:ascii="宋体" w:hAnsi="宋体" w:cs="宋体"/>
          <w:szCs w:val="21"/>
        </w:rPr>
        <w:t>采购活动，我公司愿意参加，并承诺的下列文件、证明和陈述均是准确的、真实的。若与真实情况不符，我公司愿意承担由此而产生的一切后果。</w:t>
      </w:r>
    </w:p>
    <w:p>
      <w:pPr>
        <w:pageBreakBefore w:val="0"/>
        <w:kinsoku/>
        <w:wordWrap w:val="0"/>
        <w:overflowPunct/>
        <w:topLinePunct/>
        <w:autoSpaceDE/>
        <w:autoSpaceDN/>
        <w:bidi w:val="0"/>
        <w:ind w:firstLine="420" w:firstLineChars="200"/>
        <w:jc w:val="center"/>
        <w:textAlignment w:val="auto"/>
      </w:pPr>
    </w:p>
    <w:tbl>
      <w:tblPr>
        <w:tblStyle w:val="23"/>
        <w:tblW w:w="7438" w:type="dxa"/>
        <w:jc w:val="center"/>
        <w:tblLayout w:type="fixed"/>
        <w:tblCellMar>
          <w:top w:w="0" w:type="dxa"/>
          <w:left w:w="108" w:type="dxa"/>
          <w:bottom w:w="0" w:type="dxa"/>
          <w:right w:w="108" w:type="dxa"/>
        </w:tblCellMar>
      </w:tblPr>
      <w:tblGrid>
        <w:gridCol w:w="1615"/>
        <w:gridCol w:w="3918"/>
        <w:gridCol w:w="1905"/>
      </w:tblGrid>
      <w:tr>
        <w:tblPrEx>
          <w:tblCellMar>
            <w:top w:w="0" w:type="dxa"/>
            <w:left w:w="108" w:type="dxa"/>
            <w:bottom w:w="0" w:type="dxa"/>
            <w:right w:w="108" w:type="dxa"/>
          </w:tblCellMar>
        </w:tblPrEx>
        <w:trPr>
          <w:trHeight w:val="370" w:hRule="atLeast"/>
          <w:jc w:val="center"/>
        </w:trPr>
        <w:tc>
          <w:tcPr>
            <w:tcW w:w="1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序号</w:t>
            </w:r>
          </w:p>
        </w:tc>
        <w:tc>
          <w:tcPr>
            <w:tcW w:w="3918" w:type="dxa"/>
            <w:tcBorders>
              <w:top w:val="single" w:color="000000" w:sz="4" w:space="0"/>
              <w:left w:val="nil"/>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项     目</w:t>
            </w:r>
          </w:p>
        </w:tc>
        <w:tc>
          <w:tcPr>
            <w:tcW w:w="1905" w:type="dxa"/>
            <w:tcBorders>
              <w:top w:val="single" w:color="000000" w:sz="4" w:space="0"/>
              <w:left w:val="nil"/>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响应人承诺</w:t>
            </w:r>
          </w:p>
        </w:tc>
      </w:tr>
      <w:tr>
        <w:tblPrEx>
          <w:tblCellMar>
            <w:top w:w="0" w:type="dxa"/>
            <w:left w:w="108" w:type="dxa"/>
            <w:bottom w:w="0" w:type="dxa"/>
            <w:right w:w="108" w:type="dxa"/>
          </w:tblCellMar>
        </w:tblPrEx>
        <w:trPr>
          <w:jc w:val="center"/>
        </w:trPr>
        <w:tc>
          <w:tcPr>
            <w:tcW w:w="1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1</w:t>
            </w:r>
          </w:p>
        </w:tc>
        <w:tc>
          <w:tcPr>
            <w:tcW w:w="3918" w:type="dxa"/>
            <w:tcBorders>
              <w:top w:val="single" w:color="000000" w:sz="4" w:space="0"/>
              <w:left w:val="nil"/>
              <w:bottom w:val="single" w:color="000000" w:sz="4" w:space="0"/>
              <w:right w:val="single" w:color="000000" w:sz="4" w:space="0"/>
            </w:tcBorders>
            <w:noWrap w:val="0"/>
            <w:vAlign w:val="top"/>
          </w:tcPr>
          <w:p>
            <w:pPr>
              <w:pageBreakBefore w:val="0"/>
              <w:kinsoku/>
              <w:wordWrap w:val="0"/>
              <w:overflowPunct/>
              <w:topLinePunct/>
              <w:autoSpaceDE/>
              <w:autoSpaceDN/>
              <w:bidi w:val="0"/>
              <w:adjustRightInd w:val="0"/>
              <w:snapToGrid w:val="0"/>
              <w:spacing w:before="40" w:after="160" w:line="480" w:lineRule="auto"/>
              <w:textAlignment w:val="auto"/>
              <w:rPr>
                <w:rFonts w:cs="黑体"/>
                <w:szCs w:val="21"/>
              </w:rPr>
            </w:pPr>
            <w:r>
              <w:rPr>
                <w:rFonts w:hint="eastAsia"/>
              </w:rPr>
              <w:t>具有有效营业执照或事业单位法人证书</w:t>
            </w:r>
          </w:p>
        </w:tc>
        <w:tc>
          <w:tcPr>
            <w:tcW w:w="1905" w:type="dxa"/>
            <w:tcBorders>
              <w:top w:val="single" w:color="000000" w:sz="4" w:space="0"/>
              <w:left w:val="nil"/>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是</w:t>
            </w:r>
          </w:p>
        </w:tc>
      </w:tr>
      <w:tr>
        <w:tblPrEx>
          <w:tblCellMar>
            <w:top w:w="0" w:type="dxa"/>
            <w:left w:w="108" w:type="dxa"/>
            <w:bottom w:w="0" w:type="dxa"/>
            <w:right w:w="108" w:type="dxa"/>
          </w:tblCellMar>
        </w:tblPrEx>
        <w:trPr>
          <w:jc w:val="center"/>
        </w:trPr>
        <w:tc>
          <w:tcPr>
            <w:tcW w:w="1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2</w:t>
            </w:r>
          </w:p>
        </w:tc>
        <w:tc>
          <w:tcPr>
            <w:tcW w:w="3918" w:type="dxa"/>
            <w:tcBorders>
              <w:top w:val="single" w:color="000000" w:sz="4" w:space="0"/>
              <w:left w:val="nil"/>
              <w:bottom w:val="single" w:color="000000" w:sz="4" w:space="0"/>
              <w:right w:val="single" w:color="000000" w:sz="4" w:space="0"/>
            </w:tcBorders>
            <w:noWrap w:val="0"/>
            <w:vAlign w:val="top"/>
          </w:tcPr>
          <w:p>
            <w:pPr>
              <w:pageBreakBefore w:val="0"/>
              <w:kinsoku/>
              <w:wordWrap w:val="0"/>
              <w:overflowPunct/>
              <w:topLinePunct/>
              <w:autoSpaceDE/>
              <w:autoSpaceDN/>
              <w:bidi w:val="0"/>
              <w:adjustRightInd w:val="0"/>
              <w:snapToGrid w:val="0"/>
              <w:spacing w:before="40" w:after="160" w:line="480" w:lineRule="auto"/>
              <w:textAlignment w:val="auto"/>
              <w:rPr>
                <w:rFonts w:cs="黑体"/>
                <w:szCs w:val="21"/>
              </w:rPr>
            </w:pPr>
            <w:r>
              <w:rPr>
                <w:rFonts w:hint="eastAsia" w:ascii="宋体" w:hAnsi="宋体" w:cs="宋体"/>
                <w:szCs w:val="28"/>
              </w:rPr>
              <w:t>具有本项目实施能力和良好的商业信誉</w:t>
            </w:r>
          </w:p>
        </w:tc>
        <w:tc>
          <w:tcPr>
            <w:tcW w:w="1905" w:type="dxa"/>
            <w:tcBorders>
              <w:top w:val="single" w:color="000000" w:sz="4" w:space="0"/>
              <w:left w:val="nil"/>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是</w:t>
            </w:r>
          </w:p>
        </w:tc>
      </w:tr>
      <w:tr>
        <w:tblPrEx>
          <w:tblCellMar>
            <w:top w:w="0" w:type="dxa"/>
            <w:left w:w="108" w:type="dxa"/>
            <w:bottom w:w="0" w:type="dxa"/>
            <w:right w:w="108" w:type="dxa"/>
          </w:tblCellMar>
        </w:tblPrEx>
        <w:trPr>
          <w:jc w:val="center"/>
        </w:trPr>
        <w:tc>
          <w:tcPr>
            <w:tcW w:w="1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3</w:t>
            </w:r>
          </w:p>
        </w:tc>
        <w:tc>
          <w:tcPr>
            <w:tcW w:w="3918" w:type="dxa"/>
            <w:tcBorders>
              <w:top w:val="single" w:color="000000" w:sz="4" w:space="0"/>
              <w:left w:val="nil"/>
              <w:bottom w:val="single" w:color="000000" w:sz="4" w:space="0"/>
              <w:right w:val="single" w:color="000000" w:sz="4" w:space="0"/>
            </w:tcBorders>
            <w:noWrap w:val="0"/>
            <w:vAlign w:val="top"/>
          </w:tcPr>
          <w:p>
            <w:pPr>
              <w:pageBreakBefore w:val="0"/>
              <w:kinsoku/>
              <w:wordWrap w:val="0"/>
              <w:overflowPunct/>
              <w:topLinePunct/>
              <w:autoSpaceDE/>
              <w:autoSpaceDN/>
              <w:bidi w:val="0"/>
              <w:adjustRightInd w:val="0"/>
              <w:snapToGrid w:val="0"/>
              <w:spacing w:before="40" w:after="160" w:line="480" w:lineRule="auto"/>
              <w:textAlignment w:val="auto"/>
              <w:rPr>
                <w:rFonts w:cs="黑体"/>
                <w:szCs w:val="21"/>
              </w:rPr>
            </w:pPr>
            <w:r>
              <w:rPr>
                <w:rFonts w:hint="eastAsia"/>
              </w:rPr>
              <w:t>具有健全的财务会计制度</w:t>
            </w:r>
          </w:p>
        </w:tc>
        <w:tc>
          <w:tcPr>
            <w:tcW w:w="1905" w:type="dxa"/>
            <w:tcBorders>
              <w:top w:val="single" w:color="000000" w:sz="4" w:space="0"/>
              <w:left w:val="nil"/>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是</w:t>
            </w:r>
          </w:p>
        </w:tc>
      </w:tr>
      <w:tr>
        <w:tblPrEx>
          <w:tblCellMar>
            <w:top w:w="0" w:type="dxa"/>
            <w:left w:w="108" w:type="dxa"/>
            <w:bottom w:w="0" w:type="dxa"/>
            <w:right w:w="108" w:type="dxa"/>
          </w:tblCellMar>
        </w:tblPrEx>
        <w:trPr>
          <w:jc w:val="center"/>
        </w:trPr>
        <w:tc>
          <w:tcPr>
            <w:tcW w:w="1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4</w:t>
            </w:r>
          </w:p>
        </w:tc>
        <w:tc>
          <w:tcPr>
            <w:tcW w:w="3918" w:type="dxa"/>
            <w:tcBorders>
              <w:top w:val="single" w:color="000000" w:sz="4" w:space="0"/>
              <w:left w:val="nil"/>
              <w:bottom w:val="single" w:color="000000" w:sz="4" w:space="0"/>
              <w:right w:val="single" w:color="000000" w:sz="4" w:space="0"/>
            </w:tcBorders>
            <w:noWrap w:val="0"/>
            <w:vAlign w:val="top"/>
          </w:tcPr>
          <w:p>
            <w:pPr>
              <w:pageBreakBefore w:val="0"/>
              <w:kinsoku/>
              <w:wordWrap w:val="0"/>
              <w:overflowPunct/>
              <w:topLinePunct/>
              <w:autoSpaceDE/>
              <w:autoSpaceDN/>
              <w:bidi w:val="0"/>
              <w:adjustRightInd w:val="0"/>
              <w:snapToGrid w:val="0"/>
              <w:spacing w:before="40" w:after="160" w:line="480" w:lineRule="auto"/>
              <w:textAlignment w:val="auto"/>
              <w:rPr>
                <w:rFonts w:cs="黑体"/>
                <w:szCs w:val="21"/>
              </w:rPr>
            </w:pPr>
            <w:r>
              <w:rPr>
                <w:rFonts w:hint="eastAsia"/>
              </w:rPr>
              <w:t>有依法缴纳税收和社会保障资金的良好记录</w:t>
            </w:r>
          </w:p>
        </w:tc>
        <w:tc>
          <w:tcPr>
            <w:tcW w:w="1905" w:type="dxa"/>
            <w:tcBorders>
              <w:top w:val="single" w:color="000000" w:sz="4" w:space="0"/>
              <w:left w:val="nil"/>
              <w:bottom w:val="single" w:color="000000" w:sz="4" w:space="0"/>
              <w:right w:val="single" w:color="000000" w:sz="4" w:space="0"/>
            </w:tcBorders>
            <w:noWrap w:val="0"/>
            <w:vAlign w:val="center"/>
          </w:tcPr>
          <w:p>
            <w:pPr>
              <w:pageBreakBefore w:val="0"/>
              <w:kinsoku/>
              <w:wordWrap w:val="0"/>
              <w:overflowPunct/>
              <w:topLinePunct/>
              <w:autoSpaceDE/>
              <w:autoSpaceDN/>
              <w:bidi w:val="0"/>
              <w:adjustRightInd w:val="0"/>
              <w:snapToGrid w:val="0"/>
              <w:spacing w:before="40" w:after="160" w:line="480" w:lineRule="auto"/>
              <w:jc w:val="center"/>
              <w:textAlignment w:val="auto"/>
              <w:rPr>
                <w:rFonts w:cs="黑体"/>
                <w:szCs w:val="21"/>
              </w:rPr>
            </w:pPr>
            <w:r>
              <w:rPr>
                <w:rFonts w:hint="eastAsia"/>
              </w:rPr>
              <w:t>是</w:t>
            </w:r>
          </w:p>
        </w:tc>
      </w:tr>
    </w:tbl>
    <w:p>
      <w:pPr>
        <w:pageBreakBefore w:val="0"/>
        <w:kinsoku/>
        <w:wordWrap w:val="0"/>
        <w:overflowPunct/>
        <w:topLinePunct/>
        <w:autoSpaceDE/>
        <w:autoSpaceDN/>
        <w:bidi w:val="0"/>
        <w:ind w:firstLine="420" w:firstLineChars="200"/>
        <w:textAlignment w:val="auto"/>
        <w:rPr>
          <w:rFonts w:hint="eastAsia"/>
        </w:rPr>
      </w:pPr>
      <w:r>
        <w:rPr>
          <w:rFonts w:hint="eastAsia"/>
        </w:rPr>
        <w:t xml:space="preserve">   </w:t>
      </w:r>
    </w:p>
    <w:p>
      <w:pPr>
        <w:pageBreakBefore w:val="0"/>
        <w:kinsoku/>
        <w:wordWrap w:val="0"/>
        <w:overflowPunct/>
        <w:topLinePunct/>
        <w:autoSpaceDE/>
        <w:autoSpaceDN/>
        <w:bidi w:val="0"/>
        <w:ind w:firstLine="420" w:firstLineChars="200"/>
        <w:textAlignment w:val="auto"/>
        <w:rPr>
          <w:rFonts w:cs="黑体"/>
          <w:szCs w:val="21"/>
        </w:rPr>
      </w:pPr>
      <w:r>
        <w:rPr>
          <w:rFonts w:hint="eastAsia"/>
        </w:rPr>
        <w:t xml:space="preserve"> </w:t>
      </w:r>
      <w:r>
        <w:rPr>
          <w:rFonts w:hint="eastAsia" w:ascii="微软雅黑" w:hAnsi="微软雅黑"/>
        </w:rPr>
        <w:t>响应人承诺：遵守《中华人民共和国政府采购法》第二十二、七十七条和《中华人民共和国政府采购法实施条例》第十七条之规定，如有违反，依法接受相应处罚。</w:t>
      </w:r>
    </w:p>
    <w:p>
      <w:pPr>
        <w:pStyle w:val="11"/>
        <w:pageBreakBefore w:val="0"/>
        <w:kinsoku/>
        <w:wordWrap w:val="0"/>
        <w:overflowPunct/>
        <w:topLinePunct/>
        <w:autoSpaceDE/>
        <w:autoSpaceDN/>
        <w:bidi w:val="0"/>
        <w:textAlignment w:val="auto"/>
        <w:rPr>
          <w:rFonts w:hint="eastAsia"/>
        </w:rPr>
      </w:pPr>
    </w:p>
    <w:p>
      <w:pPr>
        <w:pageBreakBefore w:val="0"/>
        <w:kinsoku/>
        <w:wordWrap w:val="0"/>
        <w:overflowPunct/>
        <w:topLinePunct/>
        <w:autoSpaceDE/>
        <w:autoSpaceDN/>
        <w:bidi w:val="0"/>
        <w:textAlignment w:val="auto"/>
        <w:rPr>
          <w:rFonts w:hint="eastAsia"/>
        </w:rPr>
      </w:pPr>
    </w:p>
    <w:p>
      <w:pPr>
        <w:pStyle w:val="5"/>
        <w:pageBreakBefore w:val="0"/>
        <w:kinsoku/>
        <w:wordWrap w:val="0"/>
        <w:overflowPunct/>
        <w:topLinePunct/>
        <w:autoSpaceDE/>
        <w:autoSpaceDN/>
        <w:bidi w:val="0"/>
        <w:textAlignment w:val="auto"/>
        <w:rPr>
          <w:rFonts w:hint="eastAsia"/>
        </w:rPr>
      </w:pPr>
    </w:p>
    <w:p>
      <w:pPr>
        <w:pageBreakBefore w:val="0"/>
        <w:kinsoku/>
        <w:wordWrap w:val="0"/>
        <w:overflowPunct/>
        <w:topLinePunct/>
        <w:autoSpaceDE/>
        <w:autoSpaceDN/>
        <w:bidi w:val="0"/>
        <w:textAlignment w:val="auto"/>
        <w:rPr>
          <w:rFonts w:hint="eastAsia"/>
        </w:rPr>
      </w:pPr>
    </w:p>
    <w:p>
      <w:pPr>
        <w:pageBreakBefore w:val="0"/>
        <w:kinsoku/>
        <w:wordWrap w:val="0"/>
        <w:overflowPunct/>
        <w:topLinePunct/>
        <w:autoSpaceDE/>
        <w:autoSpaceDN/>
        <w:bidi w:val="0"/>
        <w:spacing w:line="460" w:lineRule="exact"/>
        <w:ind w:firstLine="420" w:firstLineChars="200"/>
        <w:textAlignment w:val="auto"/>
        <w:rPr>
          <w:rFonts w:hint="eastAsia" w:ascii="宋体" w:hAnsi="宋体" w:cs="宋体"/>
          <w:szCs w:val="21"/>
        </w:rPr>
      </w:pPr>
      <w:r>
        <w:rPr>
          <w:rFonts w:hint="eastAsia" w:ascii="宋体" w:hAnsi="宋体" w:cs="宋体"/>
          <w:szCs w:val="21"/>
        </w:rPr>
        <w:t xml:space="preserve">响应人（盖章）：                 </w:t>
      </w:r>
    </w:p>
    <w:p>
      <w:pPr>
        <w:pageBreakBefore w:val="0"/>
        <w:kinsoku/>
        <w:wordWrap w:val="0"/>
        <w:overflowPunct/>
        <w:topLinePunct/>
        <w:autoSpaceDE/>
        <w:autoSpaceDN/>
        <w:bidi w:val="0"/>
        <w:spacing w:line="460" w:lineRule="exact"/>
        <w:ind w:firstLine="420" w:firstLineChars="200"/>
        <w:textAlignment w:val="auto"/>
        <w:rPr>
          <w:rFonts w:hint="eastAsia" w:ascii="宋体" w:hAnsi="宋体" w:cs="宋体"/>
          <w:szCs w:val="21"/>
        </w:rPr>
      </w:pPr>
      <w:r>
        <w:rPr>
          <w:rFonts w:hint="eastAsia" w:ascii="宋体" w:hAnsi="宋体" w:cs="宋体"/>
          <w:szCs w:val="21"/>
        </w:rPr>
        <w:t>法定代表人或委托代理人（签字）：</w:t>
      </w:r>
    </w:p>
    <w:p>
      <w:pPr>
        <w:pageBreakBefore w:val="0"/>
        <w:kinsoku/>
        <w:wordWrap w:val="0"/>
        <w:overflowPunct/>
        <w:topLinePunct/>
        <w:autoSpaceDE/>
        <w:autoSpaceDN/>
        <w:bidi w:val="0"/>
        <w:spacing w:line="460" w:lineRule="exact"/>
        <w:ind w:firstLine="420" w:firstLineChars="200"/>
        <w:textAlignment w:val="auto"/>
        <w:rPr>
          <w:rFonts w:hint="eastAsia" w:ascii="宋体" w:hAnsi="宋体" w:cs="宋体"/>
          <w:szCs w:val="21"/>
        </w:rPr>
      </w:pPr>
      <w:r>
        <w:rPr>
          <w:rFonts w:hint="eastAsia" w:ascii="宋体" w:hAnsi="宋体" w:cs="宋体"/>
          <w:szCs w:val="21"/>
        </w:rPr>
        <w:t>日期：______年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pPr>
        <w:pStyle w:val="11"/>
        <w:pageBreakBefore w:val="0"/>
        <w:kinsoku/>
        <w:wordWrap w:val="0"/>
        <w:overflowPunct/>
        <w:topLinePunct/>
        <w:autoSpaceDE/>
        <w:autoSpaceDN/>
        <w:bidi w:val="0"/>
        <w:textAlignment w:val="auto"/>
        <w:rPr>
          <w:rFonts w:hint="eastAsia"/>
        </w:rPr>
      </w:pPr>
    </w:p>
    <w:p>
      <w:pPr>
        <w:pageBreakBefore w:val="0"/>
        <w:kinsoku/>
        <w:wordWrap w:val="0"/>
        <w:overflowPunct/>
        <w:topLinePunct/>
        <w:autoSpaceDE/>
        <w:autoSpaceDN/>
        <w:bidi w:val="0"/>
        <w:spacing w:line="460" w:lineRule="exact"/>
        <w:textAlignment w:val="auto"/>
        <w:rPr>
          <w:rFonts w:hint="eastAsia" w:ascii="宋体" w:hAnsi="宋体" w:eastAsia="宋体" w:cs="宋体"/>
          <w:b/>
          <w:bCs/>
          <w:szCs w:val="28"/>
          <w:lang w:val="en-US" w:eastAsia="zh-CN"/>
        </w:rPr>
      </w:pPr>
      <w:r>
        <w:rPr>
          <w:rFonts w:ascii="宋体" w:hAnsi="宋体" w:cs="宋体"/>
          <w:b/>
          <w:bCs/>
          <w:color w:val="000000"/>
          <w:sz w:val="24"/>
        </w:rPr>
        <w:br w:type="page"/>
      </w:r>
      <w:r>
        <w:rPr>
          <w:rFonts w:hint="eastAsia" w:ascii="宋体" w:hAnsi="宋体" w:eastAsia="宋体" w:cs="宋体"/>
          <w:b/>
          <w:bCs/>
          <w:szCs w:val="28"/>
        </w:rPr>
        <w:t>附件</w:t>
      </w:r>
      <w:r>
        <w:rPr>
          <w:rFonts w:hint="eastAsia" w:ascii="宋体" w:hAnsi="宋体" w:eastAsia="宋体" w:cs="宋体"/>
          <w:b/>
          <w:bCs/>
          <w:szCs w:val="28"/>
          <w:lang w:val="en-US" w:eastAsia="zh-CN"/>
        </w:rPr>
        <w:t>七</w:t>
      </w:r>
      <w:r>
        <w:rPr>
          <w:rFonts w:hint="eastAsia" w:ascii="宋体" w:hAnsi="宋体" w:eastAsia="宋体" w:cs="宋体"/>
          <w:b/>
          <w:bCs/>
          <w:szCs w:val="28"/>
        </w:rPr>
        <w:t>：投标人应具备的特殊要求：</w:t>
      </w:r>
      <w:r>
        <w:rPr>
          <w:rFonts w:hint="eastAsia" w:ascii="宋体" w:hAnsi="宋体" w:eastAsia="宋体" w:cs="宋体"/>
          <w:b/>
          <w:bCs/>
          <w:szCs w:val="28"/>
          <w:lang w:val="en-US" w:eastAsia="zh-CN"/>
        </w:rPr>
        <w:t>无</w:t>
      </w:r>
    </w:p>
    <w:p>
      <w:pPr>
        <w:pStyle w:val="4"/>
        <w:pageBreakBefore w:val="0"/>
        <w:kinsoku/>
        <w:wordWrap w:val="0"/>
        <w:overflowPunct/>
        <w:topLinePunct/>
        <w:autoSpaceDE/>
        <w:autoSpaceDN/>
        <w:bidi w:val="0"/>
        <w:jc w:val="both"/>
        <w:textAlignment w:val="auto"/>
        <w:rPr>
          <w:rFonts w:hint="eastAsia" w:ascii="宋体" w:hAnsi="宋体" w:eastAsia="宋体" w:cs="宋体"/>
          <w:sz w:val="21"/>
          <w:szCs w:val="21"/>
        </w:rPr>
      </w:pPr>
      <w:bookmarkStart w:id="180" w:name="_Toc24398"/>
      <w:r>
        <w:rPr>
          <w:rFonts w:hint="eastAsia" w:ascii="宋体" w:hAnsi="宋体" w:eastAsia="宋体" w:cs="宋体"/>
          <w:sz w:val="21"/>
          <w:szCs w:val="21"/>
        </w:rPr>
        <w:t>附件</w:t>
      </w:r>
      <w:r>
        <w:rPr>
          <w:rFonts w:hint="eastAsia" w:ascii="宋体" w:hAnsi="宋体" w:eastAsia="宋体" w:cs="宋体"/>
          <w:sz w:val="21"/>
          <w:szCs w:val="21"/>
          <w:lang w:val="en-US" w:eastAsia="zh-CN"/>
        </w:rPr>
        <w:t>八</w:t>
      </w:r>
      <w:r>
        <w:rPr>
          <w:rFonts w:hint="eastAsia" w:ascii="宋体" w:hAnsi="宋体" w:eastAsia="宋体" w:cs="宋体"/>
          <w:sz w:val="21"/>
          <w:szCs w:val="21"/>
        </w:rPr>
        <w:t>：</w:t>
      </w:r>
      <w:bookmarkEnd w:id="180"/>
      <w:r>
        <w:rPr>
          <w:rFonts w:hint="eastAsia" w:ascii="宋体" w:hAnsi="宋体" w:eastAsia="宋体" w:cs="宋体"/>
          <w:sz w:val="21"/>
          <w:szCs w:val="21"/>
        </w:rPr>
        <w:t xml:space="preserve">  </w:t>
      </w:r>
      <w:r>
        <w:rPr>
          <w:rFonts w:hint="eastAsia" w:ascii="宋体" w:hAnsi="宋体" w:cs="宋体"/>
          <w:b w:val="0"/>
          <w:bCs w:val="0"/>
          <w:szCs w:val="21"/>
        </w:rPr>
        <w:t xml:space="preserve">                 </w:t>
      </w:r>
      <w:r>
        <w:rPr>
          <w:rFonts w:hint="eastAsia" w:ascii="宋体" w:hAnsi="宋体" w:eastAsia="宋体" w:cs="宋体"/>
          <w:sz w:val="21"/>
          <w:szCs w:val="21"/>
        </w:rPr>
        <w:t xml:space="preserve">               </w:t>
      </w:r>
    </w:p>
    <w:p>
      <w:pPr>
        <w:pStyle w:val="4"/>
        <w:pageBreakBefore w:val="0"/>
        <w:kinsoku/>
        <w:wordWrap w:val="0"/>
        <w:overflowPunct/>
        <w:topLinePunct/>
        <w:autoSpaceDE/>
        <w:autoSpaceDN/>
        <w:bidi w:val="0"/>
        <w:textAlignment w:val="auto"/>
        <w:rPr>
          <w:rFonts w:hint="eastAsia" w:ascii="宋体" w:hAnsi="宋体" w:eastAsia="宋体" w:cs="宋体"/>
          <w:sz w:val="21"/>
          <w:szCs w:val="21"/>
        </w:rPr>
      </w:pPr>
      <w:bookmarkStart w:id="181" w:name="_Toc15814"/>
      <w:r>
        <w:rPr>
          <w:rFonts w:hint="eastAsia" w:ascii="宋体" w:hAnsi="宋体" w:eastAsia="宋体" w:cs="宋体"/>
          <w:sz w:val="21"/>
          <w:szCs w:val="21"/>
        </w:rPr>
        <w:t>中小企业声明函（工程、服务）</w:t>
      </w:r>
      <w:bookmarkEnd w:id="181"/>
    </w:p>
    <w:p>
      <w:pPr>
        <w:pageBreakBefore w:val="0"/>
        <w:kinsoku/>
        <w:wordWrap w:val="0"/>
        <w:overflowPunct/>
        <w:topLinePunct/>
        <w:autoSpaceDE/>
        <w:autoSpaceDN/>
        <w:bidi w:val="0"/>
        <w:spacing w:line="360" w:lineRule="auto"/>
        <w:ind w:firstLine="630" w:firstLineChars="300"/>
        <w:textAlignment w:val="auto"/>
        <w:rPr>
          <w:rFonts w:hint="eastAsia" w:ascii="宋体" w:hAnsi="宋体" w:cs="宋体"/>
          <w:szCs w:val="21"/>
        </w:rPr>
      </w:pPr>
    </w:p>
    <w:p>
      <w:pPr>
        <w:pageBreakBefore w:val="0"/>
        <w:kinsoku/>
        <w:wordWrap w:val="0"/>
        <w:overflowPunct/>
        <w:topLinePunct/>
        <w:autoSpaceDE/>
        <w:autoSpaceDN/>
        <w:bidi w:val="0"/>
        <w:spacing w:line="360" w:lineRule="auto"/>
        <w:ind w:firstLine="630" w:firstLineChars="300"/>
        <w:textAlignment w:val="auto"/>
        <w:rPr>
          <w:rFonts w:hint="eastAsia" w:ascii="宋体" w:hAnsi="宋体" w:cs="宋体"/>
          <w:szCs w:val="21"/>
        </w:rPr>
      </w:pPr>
      <w:r>
        <w:rPr>
          <w:rFonts w:hint="eastAsia" w:ascii="宋体" w:hAnsi="宋体" w:cs="宋体"/>
          <w:szCs w:val="21"/>
        </w:rPr>
        <w:t>本公司(联合体）郑重声明，根据《政府采购促进中小企业发展管理办法》(财库( 2020 ) 46号）的规定，本公司(联合体）参加</w:t>
      </w:r>
      <w:r>
        <w:rPr>
          <w:rFonts w:hint="eastAsia" w:ascii="宋体" w:hAnsi="宋体" w:cs="宋体"/>
          <w:szCs w:val="21"/>
          <w:u w:val="single"/>
        </w:rPr>
        <w:t xml:space="preserve">       </w:t>
      </w:r>
      <w:r>
        <w:rPr>
          <w:rFonts w:hint="eastAsia" w:ascii="宋体" w:hAnsi="宋体" w:cs="宋体"/>
          <w:b/>
          <w:bCs/>
          <w:szCs w:val="21"/>
          <w:lang w:val="zh-CN"/>
        </w:rPr>
        <w:t>（</w:t>
      </w:r>
      <w:r>
        <w:rPr>
          <w:rFonts w:hint="eastAsia" w:ascii="宋体" w:hAnsi="宋体" w:cs="宋体"/>
          <w:b/>
          <w:bCs/>
          <w:szCs w:val="21"/>
        </w:rPr>
        <w:t>单位名称</w:t>
      </w:r>
      <w:r>
        <w:rPr>
          <w:rFonts w:hint="eastAsia" w:ascii="宋体" w:hAnsi="宋体" w:cs="宋体"/>
          <w:b/>
          <w:bCs/>
          <w:szCs w:val="21"/>
          <w:lang w:val="zh-CN"/>
        </w:rPr>
        <w:t>）</w:t>
      </w:r>
      <w:r>
        <w:rPr>
          <w:rFonts w:hint="eastAsia" w:ascii="宋体" w:hAnsi="宋体" w:cs="宋体"/>
          <w:szCs w:val="21"/>
        </w:rPr>
        <w:t>的</w:t>
      </w:r>
      <w:r>
        <w:rPr>
          <w:rFonts w:hint="eastAsia" w:ascii="宋体" w:hAnsi="宋体" w:cs="宋体"/>
          <w:szCs w:val="21"/>
          <w:u w:val="single"/>
        </w:rPr>
        <w:t xml:space="preserve">        </w:t>
      </w:r>
      <w:r>
        <w:rPr>
          <w:rFonts w:hint="eastAsia" w:ascii="宋体" w:hAnsi="宋体" w:cs="宋体"/>
          <w:b/>
          <w:bCs/>
          <w:szCs w:val="21"/>
        </w:rPr>
        <w:t>(项目名称)</w:t>
      </w:r>
      <w:r>
        <w:rPr>
          <w:rFonts w:hint="eastAsia" w:ascii="宋体" w:hAnsi="宋体" w:cs="宋体"/>
          <w:szCs w:val="21"/>
        </w:rPr>
        <w:t>采购活动，工程的施工单位全部为符合政策要求的中小企业（或者：服务全部由符合政策要求的中小企业承接）。相关企业（含联合体中的中小企业、签订分包意向协议的中小企业）的具体情况如下：</w:t>
      </w:r>
    </w:p>
    <w:p>
      <w:pPr>
        <w:pStyle w:val="2"/>
        <w:pageBreakBefore w:val="0"/>
        <w:kinsoku/>
        <w:wordWrap w:val="0"/>
        <w:overflowPunct/>
        <w:topLinePunct/>
        <w:autoSpaceDE/>
        <w:autoSpaceDN/>
        <w:bidi w:val="0"/>
        <w:textAlignment w:val="auto"/>
      </w:pPr>
    </w:p>
    <w:p>
      <w:pPr>
        <w:pageBreakBefore w:val="0"/>
        <w:numPr>
          <w:ilvl w:val="0"/>
          <w:numId w:val="6"/>
        </w:numPr>
        <w:kinsoku/>
        <w:wordWrap w:val="0"/>
        <w:overflowPunct/>
        <w:topLinePunct/>
        <w:autoSpaceDE/>
        <w:autoSpaceDN/>
        <w:bidi w:val="0"/>
        <w:spacing w:line="360" w:lineRule="auto"/>
        <w:ind w:firstLine="632" w:firstLineChars="300"/>
        <w:textAlignment w:val="auto"/>
        <w:rPr>
          <w:rFonts w:ascii="宋体" w:hAnsi="宋体" w:cs="宋体"/>
          <w:szCs w:val="21"/>
        </w:rPr>
      </w:pPr>
      <w:r>
        <w:rPr>
          <w:rFonts w:hint="eastAsia" w:ascii="宋体" w:hAnsi="宋体" w:cs="宋体"/>
          <w:b/>
          <w:bCs/>
          <w:color w:val="FF0000"/>
          <w:szCs w:val="21"/>
          <w:u w:val="single"/>
        </w:rPr>
        <w:t xml:space="preserve">       </w:t>
      </w:r>
      <w:r>
        <w:rPr>
          <w:rFonts w:hint="eastAsia" w:ascii="宋体" w:hAnsi="宋体" w:cs="宋体"/>
          <w:szCs w:val="21"/>
        </w:rPr>
        <w:t>(标的名称），属于</w:t>
      </w:r>
      <w:r>
        <w:rPr>
          <w:rFonts w:hint="eastAsia" w:ascii="宋体" w:hAnsi="宋体" w:cs="宋体"/>
          <w:b/>
          <w:bCs/>
          <w:color w:val="FF0000"/>
          <w:szCs w:val="21"/>
          <w:u w:val="single"/>
        </w:rPr>
        <w:t xml:space="preserve">      </w:t>
      </w:r>
      <w:r>
        <w:rPr>
          <w:rFonts w:hint="eastAsia" w:ascii="宋体" w:hAnsi="宋体" w:cs="宋体"/>
          <w:szCs w:val="21"/>
        </w:rPr>
        <w:t>（</w:t>
      </w:r>
      <w:r>
        <w:rPr>
          <w:rFonts w:hint="eastAsia" w:ascii="宋体" w:hAnsi="宋体" w:cs="宋体"/>
          <w:b/>
          <w:bCs/>
          <w:szCs w:val="21"/>
        </w:rPr>
        <w:t>采购文件中明确的所属行业</w:t>
      </w:r>
      <w:r>
        <w:rPr>
          <w:rFonts w:hint="eastAsia" w:ascii="宋体" w:hAnsi="宋体" w:cs="宋体"/>
          <w:szCs w:val="21"/>
        </w:rPr>
        <w:t>）;</w:t>
      </w:r>
      <w:r>
        <w:rPr>
          <w:rFonts w:hint="eastAsia"/>
        </w:rPr>
        <w:t xml:space="preserve"> </w:t>
      </w:r>
      <w:r>
        <w:rPr>
          <w:rFonts w:hint="eastAsia" w:ascii="宋体" w:hAnsi="宋体" w:cs="宋体"/>
          <w:szCs w:val="21"/>
        </w:rPr>
        <w:t xml:space="preserve">承建（承接）企业为 </w:t>
      </w:r>
      <w:r>
        <w:rPr>
          <w:rFonts w:hint="eastAsia" w:ascii="宋体" w:hAnsi="宋体" w:cs="宋体"/>
          <w:color w:val="FF0000"/>
          <w:szCs w:val="21"/>
          <w:u w:val="single"/>
        </w:rPr>
        <w:t xml:space="preserve">        </w:t>
      </w:r>
      <w:r>
        <w:rPr>
          <w:rFonts w:hint="eastAsia" w:ascii="宋体" w:hAnsi="宋体" w:cs="宋体"/>
          <w:szCs w:val="21"/>
        </w:rPr>
        <w:t>（企业名称），从业人员</w:t>
      </w:r>
      <w:r>
        <w:rPr>
          <w:rFonts w:hint="eastAsia" w:ascii="宋体" w:hAnsi="宋体" w:cs="宋体"/>
          <w:color w:val="FF0000"/>
          <w:szCs w:val="21"/>
          <w:u w:val="single"/>
        </w:rPr>
        <w:t xml:space="preserve">      </w:t>
      </w:r>
      <w:r>
        <w:rPr>
          <w:rFonts w:hint="eastAsia" w:ascii="宋体" w:hAnsi="宋体" w:cs="宋体"/>
          <w:szCs w:val="21"/>
        </w:rPr>
        <w:t>人，营业收入为</w:t>
      </w:r>
      <w:r>
        <w:rPr>
          <w:rFonts w:hint="eastAsia" w:ascii="宋体" w:hAnsi="宋体" w:cs="宋体"/>
          <w:color w:val="FF0000"/>
          <w:szCs w:val="21"/>
          <w:u w:val="single"/>
        </w:rPr>
        <w:t xml:space="preserve">       </w:t>
      </w:r>
      <w:r>
        <w:rPr>
          <w:rFonts w:hint="eastAsia" w:ascii="宋体" w:hAnsi="宋体" w:cs="宋体"/>
          <w:szCs w:val="21"/>
        </w:rPr>
        <w:t>万元，资产总额为</w:t>
      </w:r>
      <w:r>
        <w:rPr>
          <w:rFonts w:hint="eastAsia" w:ascii="宋体" w:hAnsi="宋体" w:cs="宋体"/>
          <w:color w:val="FF0000"/>
          <w:szCs w:val="21"/>
          <w:u w:val="single"/>
        </w:rPr>
        <w:t xml:space="preserve">      </w:t>
      </w:r>
      <w:r>
        <w:rPr>
          <w:rFonts w:hint="eastAsia" w:ascii="宋体" w:hAnsi="宋体" w:cs="宋体"/>
          <w:color w:val="FF0000"/>
          <w:szCs w:val="21"/>
        </w:rPr>
        <w:t>万元，属于</w:t>
      </w:r>
      <w:r>
        <w:rPr>
          <w:rFonts w:hint="eastAsia" w:ascii="宋体" w:hAnsi="宋体" w:cs="宋体"/>
          <w:color w:val="FF0000"/>
          <w:szCs w:val="21"/>
          <w:u w:val="single"/>
        </w:rPr>
        <w:t xml:space="preserve">       </w:t>
      </w:r>
      <w:r>
        <w:rPr>
          <w:rFonts w:hint="eastAsia" w:ascii="宋体" w:hAnsi="宋体" w:cs="宋体"/>
          <w:color w:val="FF0000"/>
          <w:szCs w:val="21"/>
        </w:rPr>
        <w:t>（中型企业、小型企业、微型企业）；</w:t>
      </w:r>
    </w:p>
    <w:p>
      <w:pPr>
        <w:pageBreakBefore w:val="0"/>
        <w:kinsoku/>
        <w:wordWrap w:val="0"/>
        <w:overflowPunct/>
        <w:topLinePunct/>
        <w:autoSpaceDE/>
        <w:autoSpaceDN/>
        <w:bidi w:val="0"/>
        <w:spacing w:line="360" w:lineRule="auto"/>
        <w:ind w:firstLine="630" w:firstLineChars="300"/>
        <w:textAlignment w:val="auto"/>
        <w:rPr>
          <w:rFonts w:ascii="宋体" w:hAnsi="宋体" w:cs="宋体"/>
          <w:szCs w:val="21"/>
        </w:rPr>
      </w:pPr>
      <w:r>
        <w:rPr>
          <w:rFonts w:hint="eastAsia" w:ascii="宋体" w:hAnsi="宋体" w:cs="宋体"/>
          <w:szCs w:val="21"/>
        </w:rPr>
        <w:t>……</w:t>
      </w:r>
    </w:p>
    <w:p>
      <w:pPr>
        <w:pageBreakBefore w:val="0"/>
        <w:kinsoku/>
        <w:wordWrap w:val="0"/>
        <w:overflowPunct/>
        <w:topLinePunct/>
        <w:autoSpaceDE/>
        <w:autoSpaceDN/>
        <w:bidi w:val="0"/>
        <w:spacing w:line="360" w:lineRule="auto"/>
        <w:ind w:firstLine="630" w:firstLineChars="300"/>
        <w:textAlignment w:val="auto"/>
        <w:rPr>
          <w:rFonts w:ascii="宋体" w:hAnsi="宋体" w:cs="宋体"/>
          <w:szCs w:val="21"/>
        </w:rPr>
      </w:pPr>
      <w:r>
        <w:rPr>
          <w:rFonts w:hint="eastAsia" w:ascii="宋体" w:hAnsi="宋体" w:cs="宋体"/>
          <w:szCs w:val="21"/>
        </w:rPr>
        <w:t>以上企业，不属于大企业的分支机构，不存在控股股东为大企业的情形，也不存在与大企业的负责人为同一人的情形。</w:t>
      </w:r>
    </w:p>
    <w:p>
      <w:pPr>
        <w:pageBreakBefore w:val="0"/>
        <w:kinsoku/>
        <w:wordWrap w:val="0"/>
        <w:overflowPunct/>
        <w:topLinePunct/>
        <w:autoSpaceDE/>
        <w:autoSpaceDN/>
        <w:bidi w:val="0"/>
        <w:spacing w:line="360" w:lineRule="auto"/>
        <w:ind w:firstLine="630" w:firstLineChars="300"/>
        <w:textAlignment w:val="auto"/>
        <w:rPr>
          <w:rFonts w:ascii="宋体" w:hAnsi="宋体" w:cs="宋体"/>
          <w:szCs w:val="21"/>
        </w:rPr>
      </w:pPr>
      <w:r>
        <w:rPr>
          <w:rFonts w:hint="eastAsia" w:ascii="宋体" w:hAnsi="宋体" w:cs="宋体"/>
          <w:szCs w:val="21"/>
        </w:rPr>
        <w:t>本企业对上述声明内容的真实性负责。如有虚假，将依法承担相应责任。</w:t>
      </w:r>
    </w:p>
    <w:p>
      <w:pPr>
        <w:pageBreakBefore w:val="0"/>
        <w:kinsoku/>
        <w:wordWrap w:val="0"/>
        <w:overflowPunct/>
        <w:topLinePunct/>
        <w:autoSpaceDE/>
        <w:autoSpaceDN/>
        <w:bidi w:val="0"/>
        <w:spacing w:line="360" w:lineRule="auto"/>
        <w:textAlignment w:val="auto"/>
        <w:rPr>
          <w:bCs/>
          <w:color w:val="000000"/>
          <w:szCs w:val="21"/>
        </w:rPr>
      </w:pPr>
    </w:p>
    <w:p>
      <w:pPr>
        <w:pageBreakBefore w:val="0"/>
        <w:kinsoku/>
        <w:wordWrap w:val="0"/>
        <w:overflowPunct/>
        <w:topLinePunct/>
        <w:autoSpaceDE/>
        <w:autoSpaceDN/>
        <w:bidi w:val="0"/>
        <w:spacing w:line="360" w:lineRule="auto"/>
        <w:textAlignment w:val="auto"/>
        <w:rPr>
          <w:bCs/>
          <w:color w:val="000000"/>
          <w:szCs w:val="21"/>
        </w:rPr>
      </w:pPr>
      <w:r>
        <w:rPr>
          <w:rFonts w:hint="eastAsia"/>
          <w:bCs/>
          <w:color w:val="000000"/>
          <w:szCs w:val="21"/>
        </w:rPr>
        <w:t>企业</w:t>
      </w:r>
      <w:r>
        <w:rPr>
          <w:bCs/>
          <w:color w:val="000000"/>
          <w:szCs w:val="21"/>
        </w:rPr>
        <w:t>人名称（加盖公章）：</w:t>
      </w:r>
    </w:p>
    <w:p>
      <w:pPr>
        <w:pageBreakBefore w:val="0"/>
        <w:kinsoku/>
        <w:wordWrap w:val="0"/>
        <w:overflowPunct/>
        <w:topLinePunct/>
        <w:autoSpaceDE/>
        <w:autoSpaceDN/>
        <w:bidi w:val="0"/>
        <w:spacing w:line="360" w:lineRule="auto"/>
        <w:textAlignment w:val="auto"/>
        <w:rPr>
          <w:rFonts w:ascii="微软雅黑" w:hAnsi="微软雅黑" w:cs="微软雅黑"/>
          <w:szCs w:val="21"/>
        </w:rPr>
      </w:pPr>
      <w:r>
        <w:rPr>
          <w:bCs/>
          <w:color w:val="000000"/>
          <w:szCs w:val="21"/>
        </w:rPr>
        <w:t>日      期：</w:t>
      </w:r>
      <w:r>
        <w:rPr>
          <w:rFonts w:hint="eastAsia" w:ascii="微软雅黑" w:hAnsi="微软雅黑" w:cs="微软雅黑"/>
          <w:szCs w:val="21"/>
        </w:rPr>
        <w:t xml:space="preserve"> </w:t>
      </w:r>
    </w:p>
    <w:p>
      <w:pPr>
        <w:pStyle w:val="2"/>
        <w:pageBreakBefore w:val="0"/>
        <w:kinsoku/>
        <w:wordWrap w:val="0"/>
        <w:overflowPunct/>
        <w:topLinePunct/>
        <w:autoSpaceDE/>
        <w:autoSpaceDN/>
        <w:bidi w:val="0"/>
        <w:textAlignment w:val="auto"/>
      </w:pPr>
    </w:p>
    <w:p>
      <w:pPr>
        <w:pageBreakBefore w:val="0"/>
        <w:kinsoku/>
        <w:wordWrap w:val="0"/>
        <w:overflowPunct/>
        <w:topLinePunct/>
        <w:autoSpaceDE/>
        <w:autoSpaceDN/>
        <w:bidi w:val="0"/>
        <w:spacing w:line="360" w:lineRule="auto"/>
        <w:textAlignment w:val="auto"/>
        <w:rPr>
          <w:bCs/>
          <w:color w:val="000000"/>
          <w:szCs w:val="21"/>
        </w:rPr>
      </w:pPr>
      <w:r>
        <w:rPr>
          <w:rFonts w:hint="eastAsia"/>
          <w:bCs/>
          <w:color w:val="000000"/>
          <w:szCs w:val="21"/>
        </w:rPr>
        <w:t>备注：1、从业人员、营业收入、资产总额填报上一年度数据，无上一年度数据的新成立企业可不填报。</w:t>
      </w:r>
    </w:p>
    <w:p>
      <w:pPr>
        <w:pageBreakBefore w:val="0"/>
        <w:kinsoku/>
        <w:wordWrap w:val="0"/>
        <w:overflowPunct/>
        <w:topLinePunct/>
        <w:autoSpaceDE/>
        <w:autoSpaceDN/>
        <w:bidi w:val="0"/>
        <w:spacing w:line="560" w:lineRule="exact"/>
        <w:ind w:firstLine="210" w:firstLineChars="100"/>
        <w:textAlignment w:val="auto"/>
        <w:rPr>
          <w:rFonts w:hint="eastAsia" w:ascii="宋体" w:hAnsi="宋体" w:cs="宋体"/>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Style w:val="30"/>
        <w:rPr>
          <w:rFonts w:hint="eastAsia" w:cs="宋体"/>
          <w:b/>
          <w:bCs/>
          <w:kern w:val="0"/>
          <w:szCs w:val="21"/>
        </w:rPr>
      </w:pPr>
    </w:p>
    <w:p>
      <w:pPr>
        <w:pStyle w:val="30"/>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00" w:lineRule="exact"/>
        <w:textAlignment w:val="auto"/>
        <w:rPr>
          <w:rFonts w:hint="eastAsia" w:cs="宋体"/>
          <w:b/>
          <w:bCs/>
          <w:kern w:val="0"/>
          <w:szCs w:val="21"/>
        </w:rPr>
      </w:pPr>
    </w:p>
    <w:p>
      <w:pPr>
        <w:pageBreakBefore w:val="0"/>
        <w:kinsoku/>
        <w:wordWrap w:val="0"/>
        <w:overflowPunct/>
        <w:topLinePunct/>
        <w:autoSpaceDE/>
        <w:autoSpaceDN/>
        <w:bidi w:val="0"/>
        <w:spacing w:line="460" w:lineRule="exact"/>
        <w:ind w:firstLine="422" w:firstLineChars="200"/>
        <w:textAlignment w:val="auto"/>
        <w:rPr>
          <w:rFonts w:hint="eastAsia" w:ascii="宋体" w:hAnsi="宋体" w:cs="宋体"/>
          <w:szCs w:val="21"/>
        </w:rPr>
      </w:pPr>
      <w:r>
        <w:rPr>
          <w:rFonts w:hint="eastAsia" w:cs="宋体"/>
          <w:b/>
          <w:bCs/>
          <w:kern w:val="0"/>
          <w:szCs w:val="21"/>
        </w:rPr>
        <w:t>附件</w:t>
      </w:r>
      <w:r>
        <w:rPr>
          <w:rFonts w:hint="eastAsia" w:cs="宋体"/>
          <w:b/>
          <w:bCs/>
          <w:kern w:val="0"/>
          <w:szCs w:val="21"/>
          <w:lang w:val="en-US" w:eastAsia="zh-CN"/>
        </w:rPr>
        <w:t>九</w:t>
      </w:r>
      <w:r>
        <w:rPr>
          <w:rFonts w:hint="eastAsia" w:cs="宋体"/>
          <w:b/>
          <w:bCs/>
          <w:kern w:val="0"/>
          <w:szCs w:val="21"/>
        </w:rPr>
        <w:t xml:space="preserve">：               </w:t>
      </w:r>
    </w:p>
    <w:p>
      <w:pPr>
        <w:pageBreakBefore w:val="0"/>
        <w:kinsoku/>
        <w:wordWrap w:val="0"/>
        <w:overflowPunct/>
        <w:topLinePunct/>
        <w:autoSpaceDE/>
        <w:autoSpaceDN/>
        <w:bidi w:val="0"/>
        <w:snapToGrid w:val="0"/>
        <w:spacing w:line="360" w:lineRule="auto"/>
        <w:ind w:left="0" w:leftChars="0" w:right="0" w:rightChars="0" w:firstLine="0" w:firstLineChars="0"/>
        <w:jc w:val="center"/>
        <w:textAlignment w:val="auto"/>
        <w:rPr>
          <w:rFonts w:hint="eastAsia" w:ascii="宋体" w:hAnsi="宋体" w:cs="宋体"/>
          <w:b/>
          <w:kern w:val="0"/>
          <w:szCs w:val="21"/>
        </w:rPr>
      </w:pPr>
      <w:r>
        <w:rPr>
          <w:rFonts w:hint="eastAsia" w:ascii="宋体" w:hAnsi="宋体" w:cs="宋体"/>
          <w:b/>
          <w:kern w:val="0"/>
          <w:szCs w:val="21"/>
        </w:rPr>
        <w:t>政府采购供应商信用承诺书</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为维护公开、公平、公正的政府采购市场秩序，树立诚实守信的供应商形象，本单位在参与政府采购过程中,自愿作出以下承诺：</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一、严格遵守国家法律、法规和规章，全面履行应尽的责任和义务，全面做到履约守信，具备《政府采购法》第二十二条第一款规定的条件。</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二、本单位已经阅读并充分理解《常州市政府采购供应商信用管理暂行办法》，自愿按照《常州市政府采购供应商信用管理暂行办法》规定，发生失信行为将记录并公开到“信用常州”、常州市政府采购网。</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三、本单位提供给注册登记部门、行业管理部门、司法部门、行业组织以及在政府采购活动中提交的所有资料均合法、真实、有效，无任何伪造、修改、虚假成份，并对所提供资料的真实性负责。</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四、严格依法开展生产经营活动，主动接受行业监管，自愿接受依法开展的日常检查；违法失信经营后将自愿接受约束和惩戒，并依法承担相应责任。</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 xml:space="preserve">五、承诺本单位自觉接受行政管理部门、行业组织、社会公众、新闻舆论的监督。 </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 xml:space="preserve">六、承诺本单位自我约束、自我管理，重合同、守信用，不制假售假、商标侵权、虚假宣传、违约毁约、恶意逃债、偷税漏税、价格欺诈、垄断和不正当竞争，维护经营者、消费者的合法权益。 </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 xml:space="preserve">七、承诺本单位在信用中国（江苏）网站中无违法违规、较重或严重失信记录。 </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八、承诺本单位提出政府采购质疑和投诉坚持依法依规、诚实信用原则。</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九、根据政府采购相关法律法规的规定需要作出的其他承诺。                                      十、承诺本单位承诺本单位若违背承诺约定，经查实，愿意接受行业主管部门和信用管理部门相应的规定处罚，承担违约责任，并依法承担相应的法律责任。</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r>
        <w:rPr>
          <w:rFonts w:hint="eastAsia" w:ascii="宋体" w:hAnsi="宋体" w:cs="宋体"/>
          <w:color w:val="000000"/>
          <w:szCs w:val="21"/>
        </w:rPr>
        <w:t>十一、承诺本单位同意将以上承诺事项上网公示，违背承诺约定行为将作为失信信息，记录到常州市公共信用信息系统，并予以公开。</w:t>
      </w:r>
    </w:p>
    <w:p>
      <w:pPr>
        <w:pageBreakBefore w:val="0"/>
        <w:kinsoku/>
        <w:wordWrap w:val="0"/>
        <w:overflowPunct/>
        <w:topLinePunct/>
        <w:autoSpaceDE/>
        <w:autoSpaceDN/>
        <w:bidi w:val="0"/>
        <w:spacing w:line="440" w:lineRule="exact"/>
        <w:ind w:firstLine="315" w:firstLineChars="150"/>
        <w:textAlignment w:val="auto"/>
        <w:rPr>
          <w:rFonts w:hint="eastAsia" w:ascii="宋体" w:hAnsi="宋体" w:cs="宋体"/>
          <w:color w:val="000000"/>
          <w:szCs w:val="21"/>
        </w:rPr>
      </w:pPr>
    </w:p>
    <w:p>
      <w:pPr>
        <w:pageBreakBefore w:val="0"/>
        <w:kinsoku/>
        <w:wordWrap w:val="0"/>
        <w:overflowPunct/>
        <w:topLinePunct/>
        <w:autoSpaceDE/>
        <w:autoSpaceDN/>
        <w:bidi w:val="0"/>
        <w:spacing w:line="440" w:lineRule="exact"/>
        <w:ind w:firstLine="315" w:firstLineChars="150"/>
        <w:jc w:val="center"/>
        <w:textAlignment w:val="auto"/>
        <w:rPr>
          <w:rFonts w:hint="eastAsia" w:ascii="宋体" w:hAnsi="宋体" w:cs="宋体"/>
          <w:color w:val="000000"/>
          <w:szCs w:val="21"/>
        </w:rPr>
      </w:pPr>
      <w:r>
        <w:rPr>
          <w:rFonts w:hint="eastAsia" w:ascii="宋体" w:hAnsi="宋体" w:cs="宋体"/>
          <w:color w:val="000000"/>
          <w:szCs w:val="21"/>
        </w:rPr>
        <w:t xml:space="preserve">                        承诺单位（</w:t>
      </w:r>
      <w:r>
        <w:rPr>
          <w:rFonts w:hint="eastAsia" w:ascii="宋体" w:hAnsi="宋体" w:cs="宋体"/>
          <w:color w:val="000000"/>
          <w:szCs w:val="21"/>
          <w:lang w:val="en-US" w:eastAsia="zh-CN"/>
        </w:rPr>
        <w:t>加盖公章</w:t>
      </w:r>
      <w:r>
        <w:rPr>
          <w:rFonts w:hint="eastAsia" w:ascii="宋体" w:hAnsi="宋体" w:cs="宋体"/>
          <w:color w:val="000000"/>
          <w:szCs w:val="21"/>
        </w:rPr>
        <w:t>）：</w:t>
      </w:r>
    </w:p>
    <w:p>
      <w:pPr>
        <w:pageBreakBefore w:val="0"/>
        <w:kinsoku/>
        <w:wordWrap w:val="0"/>
        <w:overflowPunct/>
        <w:topLinePunct/>
        <w:autoSpaceDE/>
        <w:autoSpaceDN/>
        <w:bidi w:val="0"/>
        <w:spacing w:line="440" w:lineRule="exact"/>
        <w:ind w:firstLine="315" w:firstLineChars="150"/>
        <w:jc w:val="center"/>
        <w:textAlignment w:val="auto"/>
        <w:rPr>
          <w:rFonts w:hint="eastAsia" w:ascii="宋体" w:hAnsi="宋体" w:cs="宋体"/>
          <w:color w:val="000000"/>
          <w:szCs w:val="21"/>
        </w:rPr>
      </w:pPr>
      <w:r>
        <w:rPr>
          <w:rFonts w:hint="eastAsia" w:ascii="宋体" w:hAnsi="宋体" w:cs="宋体"/>
          <w:color w:val="000000"/>
          <w:szCs w:val="21"/>
        </w:rPr>
        <w:t xml:space="preserve">                            法定代表人</w:t>
      </w:r>
      <w:r>
        <w:rPr>
          <w:rFonts w:hint="eastAsia" w:ascii="宋体" w:hAnsi="宋体" w:cs="宋体"/>
          <w:color w:val="000000"/>
          <w:szCs w:val="21"/>
          <w:lang w:val="en-US" w:eastAsia="zh-CN"/>
        </w:rPr>
        <w:t>或</w:t>
      </w:r>
      <w:r>
        <w:rPr>
          <w:rFonts w:hint="eastAsia" w:ascii="宋体" w:hAnsi="宋体" w:cs="宋体"/>
          <w:color w:val="000000"/>
          <w:szCs w:val="21"/>
        </w:rPr>
        <w:t>负责人</w:t>
      </w:r>
      <w:r>
        <w:rPr>
          <w:rFonts w:hint="eastAsia" w:ascii="宋体" w:hAnsi="宋体" w:cs="宋体"/>
          <w:color w:val="000000"/>
          <w:szCs w:val="21"/>
          <w:lang w:eastAsia="zh-CN"/>
        </w:rPr>
        <w:t>（</w:t>
      </w:r>
      <w:r>
        <w:rPr>
          <w:rFonts w:hint="eastAsia" w:ascii="宋体" w:hAnsi="宋体" w:cs="宋体"/>
          <w:color w:val="000000"/>
          <w:szCs w:val="21"/>
          <w:lang w:val="en-US" w:eastAsia="zh-CN"/>
        </w:rPr>
        <w:t>签字</w:t>
      </w:r>
      <w:r>
        <w:rPr>
          <w:rFonts w:hint="eastAsia" w:ascii="宋体" w:hAnsi="宋体" w:cs="宋体"/>
          <w:color w:val="000000"/>
          <w:szCs w:val="21"/>
          <w:lang w:eastAsia="zh-CN"/>
        </w:rPr>
        <w:t>）</w:t>
      </w:r>
      <w:r>
        <w:rPr>
          <w:rFonts w:hint="eastAsia" w:ascii="宋体" w:hAnsi="宋体" w:cs="宋体"/>
          <w:color w:val="000000"/>
          <w:szCs w:val="21"/>
        </w:rPr>
        <w:t>：</w:t>
      </w:r>
    </w:p>
    <w:p>
      <w:pPr>
        <w:pageBreakBefore w:val="0"/>
        <w:kinsoku/>
        <w:wordWrap w:val="0"/>
        <w:overflowPunct/>
        <w:topLinePunct/>
        <w:autoSpaceDE/>
        <w:autoSpaceDN/>
        <w:bidi w:val="0"/>
        <w:spacing w:line="440" w:lineRule="exact"/>
        <w:ind w:firstLine="7455" w:firstLineChars="3550"/>
        <w:textAlignment w:val="auto"/>
        <w:rPr>
          <w:rFonts w:hint="eastAsia" w:cs="宋体"/>
          <w:b/>
          <w:bCs/>
          <w:color w:val="000000"/>
          <w:kern w:val="0"/>
          <w:szCs w:val="21"/>
        </w:rPr>
      </w:pPr>
      <w:r>
        <w:rPr>
          <w:rFonts w:hint="eastAsia" w:ascii="宋体" w:hAnsi="宋体" w:cs="宋体"/>
          <w:color w:val="000000"/>
          <w:szCs w:val="21"/>
        </w:rPr>
        <w:t>年   月   日</w:t>
      </w:r>
    </w:p>
    <w:p>
      <w:pPr>
        <w:pageBreakBefore w:val="0"/>
        <w:kinsoku/>
        <w:wordWrap w:val="0"/>
        <w:overflowPunct/>
        <w:topLinePunct/>
        <w:autoSpaceDE/>
        <w:autoSpaceDN/>
        <w:bidi w:val="0"/>
        <w:spacing w:line="460" w:lineRule="exact"/>
        <w:ind w:firstLine="420" w:firstLineChars="200"/>
        <w:textAlignment w:val="auto"/>
        <w:rPr>
          <w:rFonts w:hint="eastAsia" w:ascii="宋体" w:hAnsi="宋体" w:cs="宋体"/>
          <w:color w:val="000000"/>
          <w:szCs w:val="21"/>
        </w:rPr>
      </w:pPr>
    </w:p>
    <w:p>
      <w:pPr>
        <w:pageBreakBefore w:val="0"/>
        <w:kinsoku/>
        <w:wordWrap w:val="0"/>
        <w:overflowPunct/>
        <w:topLinePunct/>
        <w:autoSpaceDE/>
        <w:autoSpaceDN/>
        <w:bidi w:val="0"/>
        <w:spacing w:line="560" w:lineRule="exact"/>
        <w:textAlignment w:val="auto"/>
        <w:rPr>
          <w:rFonts w:hint="eastAsia" w:ascii="宋体" w:hAnsi="宋体" w:cs="宋体"/>
          <w:b/>
          <w:kern w:val="0"/>
          <w:szCs w:val="21"/>
        </w:rPr>
      </w:pPr>
    </w:p>
    <w:p>
      <w:pPr>
        <w:pageBreakBefore w:val="0"/>
        <w:kinsoku/>
        <w:wordWrap w:val="0"/>
        <w:overflowPunct/>
        <w:topLinePunct/>
        <w:autoSpaceDE/>
        <w:autoSpaceDN/>
        <w:bidi w:val="0"/>
        <w:spacing w:line="560" w:lineRule="exact"/>
        <w:textAlignment w:val="auto"/>
        <w:rPr>
          <w:rFonts w:hint="eastAsia" w:ascii="宋体" w:hAnsi="宋体" w:cs="宋体"/>
          <w:b/>
          <w:kern w:val="0"/>
          <w:szCs w:val="21"/>
        </w:rPr>
      </w:pPr>
    </w:p>
    <w:p>
      <w:pPr>
        <w:pageBreakBefore w:val="0"/>
        <w:kinsoku/>
        <w:wordWrap w:val="0"/>
        <w:overflowPunct/>
        <w:topLinePunct/>
        <w:autoSpaceDE/>
        <w:autoSpaceDN/>
        <w:bidi w:val="0"/>
        <w:spacing w:line="560" w:lineRule="exact"/>
        <w:textAlignment w:val="auto"/>
        <w:rPr>
          <w:rFonts w:hint="eastAsia"/>
          <w:b/>
          <w:szCs w:val="21"/>
        </w:rPr>
      </w:pPr>
    </w:p>
    <w:p>
      <w:pPr>
        <w:pStyle w:val="30"/>
        <w:rPr>
          <w:rFonts w:hint="eastAsia"/>
        </w:rPr>
      </w:pPr>
    </w:p>
    <w:p>
      <w:pPr>
        <w:pageBreakBefore w:val="0"/>
        <w:kinsoku/>
        <w:wordWrap w:val="0"/>
        <w:overflowPunct/>
        <w:topLinePunct/>
        <w:autoSpaceDE/>
        <w:autoSpaceDN/>
        <w:bidi w:val="0"/>
        <w:spacing w:line="560" w:lineRule="exact"/>
        <w:textAlignment w:val="auto"/>
        <w:rPr>
          <w:rFonts w:ascii="宋体" w:hAnsi="宋体" w:cs="宋体"/>
          <w:b/>
          <w:kern w:val="0"/>
          <w:szCs w:val="21"/>
        </w:rPr>
      </w:pPr>
      <w:r>
        <w:rPr>
          <w:rFonts w:hint="eastAsia"/>
          <w:b/>
          <w:szCs w:val="21"/>
        </w:rPr>
        <w:t xml:space="preserve">附件十：                            </w:t>
      </w:r>
      <w:r>
        <w:rPr>
          <w:rFonts w:hint="eastAsia" w:ascii="宋体" w:hAnsi="宋体" w:cs="宋体"/>
          <w:b/>
          <w:kern w:val="0"/>
          <w:szCs w:val="21"/>
        </w:rPr>
        <w:t>其他证明材料</w:t>
      </w:r>
    </w:p>
    <w:p>
      <w:pPr>
        <w:pageBreakBefore w:val="0"/>
        <w:kinsoku/>
        <w:wordWrap w:val="0"/>
        <w:overflowPunct/>
        <w:topLinePunct/>
        <w:autoSpaceDE/>
        <w:autoSpaceDN/>
        <w:bidi w:val="0"/>
        <w:spacing w:line="560" w:lineRule="exact"/>
        <w:textAlignment w:val="auto"/>
        <w:rPr>
          <w:rFonts w:ascii="宋体" w:hAnsi="宋体" w:cs="宋体"/>
          <w:b/>
          <w:kern w:val="0"/>
          <w:szCs w:val="21"/>
        </w:rPr>
      </w:pPr>
    </w:p>
    <w:p>
      <w:pPr>
        <w:pageBreakBefore w:val="0"/>
        <w:kinsoku/>
        <w:wordWrap w:val="0"/>
        <w:overflowPunct/>
        <w:topLinePunct/>
        <w:autoSpaceDE/>
        <w:autoSpaceDN/>
        <w:bidi w:val="0"/>
        <w:spacing w:line="560" w:lineRule="exact"/>
        <w:textAlignment w:val="auto"/>
        <w:rPr>
          <w:rFonts w:ascii="宋体" w:hAnsi="宋体" w:cs="宋体"/>
          <w:b/>
          <w:kern w:val="0"/>
          <w:szCs w:val="21"/>
        </w:rPr>
      </w:pPr>
    </w:p>
    <w:p>
      <w:pPr>
        <w:pageBreakBefore w:val="0"/>
        <w:kinsoku/>
        <w:wordWrap w:val="0"/>
        <w:overflowPunct/>
        <w:topLinePunct/>
        <w:autoSpaceDE/>
        <w:autoSpaceDN/>
        <w:bidi w:val="0"/>
        <w:spacing w:line="560" w:lineRule="exact"/>
        <w:ind w:firstLine="2319" w:firstLineChars="1100"/>
        <w:textAlignment w:val="auto"/>
        <w:rPr>
          <w:rFonts w:ascii="宋体" w:hAnsi="宋体" w:cs="宋体"/>
          <w:b/>
          <w:kern w:val="0"/>
          <w:szCs w:val="21"/>
        </w:rPr>
      </w:pPr>
      <w:r>
        <w:rPr>
          <w:rFonts w:hint="eastAsia" w:ascii="宋体" w:hAnsi="宋体" w:cs="宋体"/>
          <w:b/>
          <w:kern w:val="0"/>
          <w:szCs w:val="21"/>
        </w:rPr>
        <w:t>内容：响应人认为需要提供的其它说明和资料（格式自拟）</w:t>
      </w:r>
    </w:p>
    <w:p>
      <w:pPr>
        <w:pageBreakBefore w:val="0"/>
        <w:kinsoku/>
        <w:wordWrap w:val="0"/>
        <w:overflowPunct/>
        <w:topLinePunct/>
        <w:autoSpaceDE/>
        <w:autoSpaceDN/>
        <w:bidi w:val="0"/>
        <w:spacing w:line="560" w:lineRule="exact"/>
        <w:textAlignment w:val="auto"/>
        <w:rPr>
          <w:rFonts w:ascii="宋体" w:hAnsi="宋体" w:cs="宋体"/>
          <w:szCs w:val="21"/>
        </w:rPr>
      </w:pPr>
    </w:p>
    <w:p>
      <w:pPr>
        <w:pageBreakBefore w:val="0"/>
        <w:kinsoku/>
        <w:wordWrap w:val="0"/>
        <w:overflowPunct/>
        <w:topLinePunct/>
        <w:autoSpaceDE/>
        <w:autoSpaceDN/>
        <w:bidi w:val="0"/>
        <w:textAlignment w:val="auto"/>
        <w:rPr>
          <w:rFonts w:ascii="宋体" w:hAnsi="宋体" w:cs="宋体"/>
          <w:b/>
          <w:szCs w:val="21"/>
        </w:rPr>
      </w:pPr>
    </w:p>
    <w:bookmarkEnd w:id="178"/>
    <w:bookmarkEnd w:id="179"/>
    <w:p>
      <w:pPr>
        <w:pageBreakBefore w:val="0"/>
        <w:kinsoku/>
        <w:wordWrap w:val="0"/>
        <w:overflowPunct/>
        <w:topLinePunct/>
        <w:autoSpaceDE/>
        <w:autoSpaceDN/>
        <w:bidi w:val="0"/>
        <w:textAlignment w:val="auto"/>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pStyle w:val="30"/>
        <w:rPr>
          <w:rFonts w:hint="eastAsia" w:ascii="宋体" w:hAnsi="宋体" w:cs="宋体"/>
        </w:rPr>
      </w:pPr>
    </w:p>
    <w:p>
      <w:pPr>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rPr>
          <w:rFonts w:hint="eastAsia" w:eastAsia="宋体" w:cs="Times New Roman"/>
          <w:b/>
          <w:sz w:val="28"/>
          <w:szCs w:val="28"/>
        </w:rPr>
      </w:pPr>
      <w:r>
        <w:rPr>
          <w:rFonts w:hint="eastAsia" w:eastAsia="宋体" w:cs="Times New Roman"/>
          <w:b/>
          <w:sz w:val="28"/>
          <w:szCs w:val="28"/>
        </w:rPr>
        <w:fldChar w:fldCharType="begin"/>
      </w:r>
      <w:r>
        <w:rPr>
          <w:rFonts w:hint="eastAsia" w:eastAsia="宋体" w:cs="Times New Roman"/>
          <w:b/>
          <w:sz w:val="28"/>
          <w:szCs w:val="28"/>
        </w:rPr>
        <w:instrText xml:space="preserve"> HYPERLINK \l "_Toc214163640" </w:instrText>
      </w:r>
      <w:r>
        <w:rPr>
          <w:rFonts w:hint="eastAsia" w:eastAsia="宋体" w:cs="Times New Roman"/>
          <w:b/>
          <w:sz w:val="28"/>
          <w:szCs w:val="28"/>
        </w:rPr>
        <w:fldChar w:fldCharType="separate"/>
      </w:r>
      <w:r>
        <w:rPr>
          <w:rFonts w:hint="eastAsia" w:eastAsia="宋体" w:cs="Times New Roman"/>
          <w:b/>
          <w:sz w:val="28"/>
          <w:szCs w:val="28"/>
        </w:rPr>
        <w:t>第</w:t>
      </w:r>
      <w:r>
        <w:rPr>
          <w:rFonts w:hint="eastAsia" w:eastAsia="宋体" w:cs="Times New Roman"/>
          <w:b/>
          <w:sz w:val="28"/>
          <w:szCs w:val="28"/>
          <w:lang w:val="en-US" w:eastAsia="zh-CN"/>
        </w:rPr>
        <w:t>七</w:t>
      </w:r>
      <w:r>
        <w:rPr>
          <w:rFonts w:hint="eastAsia" w:eastAsia="宋体" w:cs="Times New Roman"/>
          <w:b/>
          <w:sz w:val="28"/>
          <w:szCs w:val="28"/>
        </w:rPr>
        <w:t>部分 评审办法</w:t>
      </w:r>
      <w:r>
        <w:rPr>
          <w:rFonts w:hint="eastAsia" w:eastAsia="宋体" w:cs="Times New Roman"/>
          <w:b/>
          <w:sz w:val="28"/>
          <w:szCs w:val="28"/>
        </w:rPr>
        <w:fldChar w:fldCharType="end"/>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sz w:val="21"/>
          <w:szCs w:val="21"/>
        </w:rPr>
      </w:pPr>
      <w:bookmarkStart w:id="182" w:name="_Toc19528"/>
      <w:bookmarkStart w:id="183" w:name="_Toc4084"/>
      <w:r>
        <w:rPr>
          <w:rFonts w:hint="eastAsia" w:ascii="宋体" w:hAnsi="宋体" w:eastAsia="宋体" w:cs="宋体"/>
          <w:kern w:val="0"/>
          <w:sz w:val="21"/>
          <w:szCs w:val="21"/>
        </w:rPr>
        <w:t>本项目采用</w:t>
      </w:r>
      <w:r>
        <w:rPr>
          <w:rFonts w:hint="eastAsia" w:ascii="宋体" w:hAnsi="宋体" w:eastAsia="宋体" w:cs="宋体"/>
          <w:b/>
          <w:kern w:val="0"/>
          <w:sz w:val="21"/>
          <w:szCs w:val="21"/>
        </w:rPr>
        <w:t>最低评标价法</w:t>
      </w:r>
      <w:r>
        <w:rPr>
          <w:rFonts w:hint="eastAsia" w:ascii="宋体" w:hAnsi="宋体" w:eastAsia="宋体" w:cs="宋体"/>
          <w:kern w:val="0"/>
          <w:sz w:val="21"/>
          <w:szCs w:val="21"/>
        </w:rPr>
        <w:t>，是指投标文件满足招标文件全部实质性要求，且</w:t>
      </w:r>
      <w:r>
        <w:rPr>
          <w:rFonts w:hint="eastAsia" w:ascii="宋体" w:hAnsi="宋体" w:eastAsia="宋体" w:cs="宋体"/>
          <w:kern w:val="0"/>
          <w:sz w:val="21"/>
          <w:szCs w:val="21"/>
          <w:lang w:val="en-US" w:eastAsia="zh-CN"/>
        </w:rPr>
        <w:t>第二轮</w:t>
      </w:r>
      <w:r>
        <w:rPr>
          <w:rFonts w:hint="eastAsia" w:ascii="宋体" w:hAnsi="宋体" w:eastAsia="宋体" w:cs="宋体"/>
          <w:kern w:val="0"/>
          <w:sz w:val="21"/>
          <w:szCs w:val="21"/>
        </w:rPr>
        <w:t>投标报价最低的投标人为中标候选人的评标方法，评标结果按投标报价由低到高顺序排列，投标报价相同的并列。投标文件满足招标文件全部实质性要求且投标报价最低的投标人为排名第一的中标候选人。如排名第一的中标候选人报价相同，则由招标人以抽签的方式随机确认中标候选人。</w:t>
      </w:r>
    </w:p>
    <w:p>
      <w:pPr>
        <w:pStyle w:val="4"/>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sz w:val="21"/>
          <w:szCs w:val="21"/>
        </w:rPr>
      </w:pPr>
      <w:bookmarkStart w:id="184" w:name="_Toc10816"/>
      <w:r>
        <w:rPr>
          <w:rFonts w:hint="eastAsia" w:ascii="宋体" w:hAnsi="宋体" w:eastAsia="宋体" w:cs="宋体"/>
          <w:sz w:val="21"/>
          <w:szCs w:val="21"/>
        </w:rPr>
        <w:t>一、资格审查</w:t>
      </w:r>
      <w:bookmarkEnd w:id="182"/>
      <w:bookmarkEnd w:id="183"/>
      <w:bookmarkEnd w:id="184"/>
    </w:p>
    <w:p>
      <w:pPr>
        <w:keepLines w:val="0"/>
        <w:pageBreakBefore w:val="0"/>
        <w:widowControl w:val="0"/>
        <w:kinsoku/>
        <w:wordWrap/>
        <w:overflowPunct/>
        <w:topLinePunct w:val="0"/>
        <w:autoSpaceDE/>
        <w:autoSpaceDN/>
        <w:bidi w:val="0"/>
        <w:adjustRightIn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rPr>
        <w:t>详见投标须知</w:t>
      </w:r>
    </w:p>
    <w:p>
      <w:pPr>
        <w:pStyle w:val="4"/>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sz w:val="21"/>
          <w:szCs w:val="21"/>
        </w:rPr>
      </w:pPr>
      <w:bookmarkStart w:id="185" w:name="_Toc852"/>
      <w:bookmarkStart w:id="186" w:name="_Toc29068"/>
      <w:bookmarkStart w:id="187" w:name="_Toc31707"/>
      <w:r>
        <w:rPr>
          <w:rFonts w:hint="eastAsia" w:ascii="宋体" w:hAnsi="宋体" w:eastAsia="宋体" w:cs="宋体"/>
          <w:sz w:val="21"/>
          <w:szCs w:val="21"/>
        </w:rPr>
        <w:t>二、评标程序</w:t>
      </w:r>
      <w:bookmarkEnd w:id="185"/>
      <w:bookmarkEnd w:id="186"/>
      <w:bookmarkEnd w:id="187"/>
    </w:p>
    <w:p>
      <w:pPr>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1、评标工作由采购代理机构负责组织，具体评标事务由采购代理机构依法组建的评标委员会负责。</w:t>
      </w:r>
    </w:p>
    <w:p>
      <w:pPr>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2、评标委员会成员到位后，推举其中一位评审专家担任评审组长，并由评审组长牵头组织该项目评审工作。评标委员会按以下程序独立履行评审职责：</w:t>
      </w:r>
    </w:p>
    <w:p>
      <w:pPr>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3、符合性审查。依据招标文件的规定，从投标文件的有效性、完整性和对招标文件的响应程度进行审查，以确定是否对招标文件的实质性要求作出响应。符合性审查资料表如下：</w:t>
      </w:r>
    </w:p>
    <w:tbl>
      <w:tblPr>
        <w:tblStyle w:val="23"/>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60"/>
        <w:gridCol w:w="1984"/>
        <w:gridCol w:w="5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kern w:val="0"/>
                <w:sz w:val="21"/>
                <w:szCs w:val="21"/>
              </w:rPr>
            </w:pPr>
            <w:r>
              <w:rPr>
                <w:rFonts w:hint="eastAsia" w:ascii="宋体" w:hAnsi="宋体" w:eastAsia="宋体" w:cs="宋体"/>
                <w:b/>
                <w:kern w:val="0"/>
                <w:sz w:val="21"/>
                <w:szCs w:val="21"/>
              </w:rPr>
              <w:t>序号</w:t>
            </w:r>
          </w:p>
        </w:tc>
        <w:tc>
          <w:tcPr>
            <w:tcW w:w="3544" w:type="dxa"/>
            <w:gridSpan w:val="2"/>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kern w:val="0"/>
                <w:sz w:val="21"/>
                <w:szCs w:val="21"/>
              </w:rPr>
            </w:pPr>
            <w:r>
              <w:rPr>
                <w:rFonts w:hint="eastAsia" w:ascii="宋体" w:hAnsi="宋体" w:eastAsia="宋体" w:cs="宋体"/>
                <w:b/>
                <w:kern w:val="0"/>
                <w:sz w:val="21"/>
                <w:szCs w:val="21"/>
              </w:rPr>
              <w:t>评审因素</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kern w:val="0"/>
                <w:sz w:val="21"/>
                <w:szCs w:val="21"/>
              </w:rPr>
            </w:pPr>
            <w:r>
              <w:rPr>
                <w:rFonts w:hint="eastAsia" w:ascii="宋体" w:hAnsi="宋体" w:eastAsia="宋体" w:cs="宋体"/>
                <w:b/>
                <w:kern w:val="0"/>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restart"/>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560" w:type="dxa"/>
            <w:vMerge w:val="restart"/>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有效性审查</w:t>
            </w: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投标文件签署</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kern w:val="0"/>
                <w:sz w:val="21"/>
                <w:szCs w:val="21"/>
              </w:rPr>
            </w:pPr>
            <w:r>
              <w:rPr>
                <w:rFonts w:hint="eastAsia" w:ascii="宋体" w:hAnsi="宋体" w:eastAsia="宋体" w:cs="宋体"/>
                <w:sz w:val="21"/>
                <w:szCs w:val="21"/>
              </w:rPr>
              <w:t>投标文件上法定代表人或其授权代表人的签字齐全。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560"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法定代表人身份证明及授权委托书</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法定代表人身份证明及授权委托书有效，符合招标文件规定的格式，签字或盖章齐全。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560"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投标方案</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kern w:val="0"/>
                <w:sz w:val="21"/>
                <w:szCs w:val="21"/>
              </w:rPr>
            </w:pPr>
            <w:r>
              <w:rPr>
                <w:rFonts w:hint="eastAsia" w:ascii="宋体" w:hAnsi="宋体" w:eastAsia="宋体" w:cs="宋体"/>
                <w:sz w:val="21"/>
                <w:szCs w:val="21"/>
                <w:lang w:val="zh-CN"/>
              </w:rPr>
              <w:t>只能有一个方案投标。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560"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报价唯一</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kern w:val="0"/>
                <w:sz w:val="21"/>
                <w:szCs w:val="21"/>
              </w:rPr>
            </w:pPr>
            <w:r>
              <w:rPr>
                <w:rFonts w:hint="eastAsia" w:ascii="宋体" w:hAnsi="宋体" w:eastAsia="宋体" w:cs="宋体"/>
                <w:sz w:val="21"/>
                <w:szCs w:val="21"/>
                <w:lang w:val="zh-CN"/>
              </w:rPr>
              <w:t>只能在采购预算价范围内报价，</w:t>
            </w:r>
            <w:r>
              <w:rPr>
                <w:rFonts w:hint="eastAsia" w:ascii="宋体" w:hAnsi="宋体" w:eastAsia="宋体" w:cs="宋体"/>
                <w:sz w:val="21"/>
                <w:szCs w:val="21"/>
              </w:rPr>
              <w:t>只能有一个有效报价，不得提交选择性报价。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restart"/>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560" w:type="dxa"/>
            <w:vMerge w:val="restart"/>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完整性审查</w:t>
            </w: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lang w:val="zh-CN"/>
              </w:rPr>
              <w:t>投标文件份数</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kern w:val="0"/>
                <w:sz w:val="21"/>
                <w:szCs w:val="21"/>
              </w:rPr>
            </w:pPr>
            <w:r>
              <w:rPr>
                <w:rFonts w:hint="eastAsia" w:ascii="宋体" w:hAnsi="宋体" w:eastAsia="宋体" w:cs="宋体"/>
                <w:sz w:val="21"/>
                <w:szCs w:val="21"/>
                <w:lang w:val="zh-CN"/>
              </w:rPr>
              <w:t>投标文件正、副本数量符合招标文件要求。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560"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投标文件内容</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投标文件内容齐全、无遗漏。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restart"/>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560" w:type="dxa"/>
            <w:vMerge w:val="restart"/>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kern w:val="0"/>
                <w:sz w:val="21"/>
                <w:szCs w:val="21"/>
              </w:rPr>
              <w:t>招标文件的响应程度审查</w:t>
            </w: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投标文件内容</w:t>
            </w:r>
          </w:p>
        </w:tc>
        <w:tc>
          <w:tcPr>
            <w:tcW w:w="5409" w:type="dxa"/>
            <w:noWrap w:val="0"/>
            <w:vAlign w:val="center"/>
          </w:tcPr>
          <w:p>
            <w:pPr>
              <w:pStyle w:val="14"/>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对招标文件规定的招标内容作出响应。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p>
        </w:tc>
        <w:tc>
          <w:tcPr>
            <w:tcW w:w="1560" w:type="dxa"/>
            <w:vMerge w:val="continue"/>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lang w:val="zh-CN"/>
              </w:rPr>
            </w:pPr>
          </w:p>
        </w:tc>
        <w:tc>
          <w:tcPr>
            <w:tcW w:w="1984" w:type="dxa"/>
            <w:noWrap w:val="0"/>
            <w:vAlign w:val="center"/>
          </w:tcPr>
          <w:p>
            <w:pPr>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投标有效期</w:t>
            </w:r>
          </w:p>
        </w:tc>
        <w:tc>
          <w:tcPr>
            <w:tcW w:w="5409" w:type="dxa"/>
            <w:noWrap w:val="0"/>
            <w:vAlign w:val="center"/>
          </w:tcPr>
          <w:p>
            <w:pPr>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满足招标文件</w:t>
            </w:r>
            <w:r>
              <w:rPr>
                <w:rFonts w:hint="eastAsia" w:ascii="宋体" w:hAnsi="宋体" w:eastAsia="宋体" w:cs="宋体"/>
                <w:sz w:val="21"/>
                <w:szCs w:val="21"/>
                <w:lang w:val="zh-CN"/>
              </w:rPr>
              <w:t>规定。</w:t>
            </w:r>
          </w:p>
        </w:tc>
      </w:tr>
    </w:tbl>
    <w:p>
      <w:pPr>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澄清有关问题。对投标文件中含义不明确、同类问题表述不一致或者有明显文字和计算错误的内容，评标委员会可以书面形式（应当由评标委员会成员签字）要求投标人作出必要澄清、说明或者纠正。投标人的澄清、说明或者补正应当采用书面形式，由其法定代表人授权代表签字，其澄清的内容不得超出投标文件的范围或者改变投标文件的实质性内容。</w:t>
      </w:r>
    </w:p>
    <w:p>
      <w:pPr>
        <w:pStyle w:val="4"/>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sz w:val="21"/>
          <w:szCs w:val="21"/>
        </w:rPr>
      </w:pPr>
      <w:bookmarkStart w:id="188" w:name="_Toc22160"/>
      <w:r>
        <w:rPr>
          <w:rFonts w:hint="eastAsia" w:ascii="宋体" w:hAnsi="宋体" w:eastAsia="宋体" w:cs="宋体"/>
          <w:sz w:val="21"/>
          <w:szCs w:val="21"/>
        </w:rPr>
        <w:t>三、评标标准</w:t>
      </w:r>
      <w:bookmarkEnd w:id="188"/>
    </w:p>
    <w:p>
      <w:pPr>
        <w:pStyle w:val="3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cs="宋体"/>
        </w:rPr>
      </w:pPr>
      <w:r>
        <w:rPr>
          <w:rFonts w:hint="eastAsia" w:ascii="宋体" w:hAnsi="宋体" w:eastAsia="宋体" w:cs="宋体"/>
          <w:sz w:val="21"/>
          <w:szCs w:val="21"/>
        </w:rPr>
        <w:t>在符合招标文件要求的前提下，</w:t>
      </w:r>
      <w:r>
        <w:rPr>
          <w:rFonts w:hint="eastAsia" w:ascii="宋体" w:hAnsi="宋体" w:eastAsia="宋体" w:cs="宋体"/>
          <w:sz w:val="21"/>
          <w:szCs w:val="21"/>
          <w:lang w:val="en-US" w:eastAsia="zh-CN"/>
        </w:rPr>
        <w:t>第二轮</w:t>
      </w:r>
      <w:r>
        <w:rPr>
          <w:rFonts w:hint="eastAsia" w:ascii="宋体" w:hAnsi="宋体" w:eastAsia="宋体" w:cs="宋体"/>
          <w:sz w:val="21"/>
          <w:szCs w:val="21"/>
        </w:rPr>
        <w:t>投标报价最低者为自然中标人。如出现报价相同，则由招标人现场以抽签的方式随机确认中标人</w:t>
      </w:r>
      <w:r>
        <w:rPr>
          <w:rFonts w:hint="eastAsia" w:ascii="宋体" w:hAnsi="宋体" w:cs="宋体"/>
          <w:sz w:val="24"/>
        </w:rPr>
        <w:t>。</w:t>
      </w:r>
    </w:p>
    <w:sectPr>
      <w:headerReference r:id="rId10" w:type="default"/>
      <w:footerReference r:id="rId11" w:type="default"/>
      <w:pgSz w:w="11906" w:h="16838"/>
      <w:pgMar w:top="1440"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7"/>
      </w:rPr>
    </w:pPr>
    <w:r>
      <w:fldChar w:fldCharType="begin"/>
    </w:r>
    <w:r>
      <w:rPr>
        <w:rStyle w:val="27"/>
      </w:rPr>
      <w:instrText xml:space="preserve">PAGE  </w:instrText>
    </w:r>
    <w: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rPr>
                          </w:pPr>
                          <w:r>
                            <w:rPr>
                              <w:rFonts w:hint="eastAsia"/>
                            </w:rPr>
                            <w:fldChar w:fldCharType="begin"/>
                          </w:r>
                          <w:r>
                            <w:rPr>
                              <w:rFonts w:hint="eastAsia"/>
                            </w:rPr>
                            <w:instrText xml:space="preserve"> PAGE  \* MERGEFORMAT </w:instrText>
                          </w:r>
                          <w:r>
                            <w:rPr>
                              <w:rFonts w:hint="eastAsia"/>
                            </w:rPr>
                            <w:fldChar w:fldCharType="separate"/>
                          </w:r>
                          <w:r>
                            <w:t>42</w:t>
                          </w:r>
                          <w:r>
                            <w:rPr>
                              <w:rFonts w:hint="eastAsia"/>
                            </w:rPr>
                            <w:fldChar w:fldCharType="end"/>
                          </w:r>
                        </w:p>
                      </w:txbxContent>
                    </wps:txbx>
                    <wps:bodyPr wrap="none" lIns="0" tIns="0" rIns="0" bIns="0" upright="0">
                      <a:spAutoFit/>
                    </wps:bodyPr>
                  </wps:wsp>
                </a:graphicData>
              </a:graphic>
            </wp:anchor>
          </w:drawing>
        </mc:Choice>
        <mc:Fallback>
          <w:pict>
            <v:shape id="文本框 4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VpqAMkBAACa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CUljlsc+Pnnj/OvP+ff38mb&#10;11mfPkCNabcBE9Pw3g+4NbMf0JlpDyra/EVCBOOo7umirhwSEfnRarlaVRgSGJsviM/un4cI6YP0&#10;lmSjoRHHV1Tlx0+QxtQ5JVdz/kYbU0Zo3H8OxMwelnsfe8xWGnbDRGjn2xPy6XHyDXW46JSYjw6F&#10;zUsyG3E2drNxCFHvu7JFuR6Ed4eETZTecoURdiqMIyvspvXKO/HvvWTd/1K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NWmoAyQEAAJoDAAAOAAAAAAAAAAEAIAAAAB4BAABkcnMvZTJvRG9j&#10;LnhtbFBLBQYAAAAABgAGAFkBAABZBQAAAAA=&#10;">
              <v:fill on="f" focussize="0,0"/>
              <v:stroke on="f"/>
              <v:imagedata o:title=""/>
              <o:lock v:ext="edit" aspectratio="f"/>
              <v:textbox inset="0mm,0mm,0mm,0mm" style="mso-fit-shape-to-text:t;">
                <w:txbxContent>
                  <w:p>
                    <w:pPr>
                      <w:pStyle w:val="16"/>
                      <w:rPr>
                        <w:rFonts w:hint="eastAsia"/>
                      </w:rPr>
                    </w:pPr>
                    <w:r>
                      <w:rPr>
                        <w:rFonts w:hint="eastAsia"/>
                      </w:rPr>
                      <w:fldChar w:fldCharType="begin"/>
                    </w:r>
                    <w:r>
                      <w:rPr>
                        <w:rFonts w:hint="eastAsia"/>
                      </w:rPr>
                      <w:instrText xml:space="preserve"> PAGE  \* MERGEFORMAT </w:instrText>
                    </w:r>
                    <w:r>
                      <w:rPr>
                        <w:rFonts w:hint="eastAsia"/>
                      </w:rPr>
                      <w:fldChar w:fldCharType="separate"/>
                    </w:r>
                    <w:r>
                      <w:t>42</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6"/>
                            <w:rPr>
                              <w:rFonts w:hint="eastAsia"/>
                            </w:rPr>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wps:txbx>
                    <wps:bodyPr wrap="none" lIns="0" tIns="0" rIns="0" bIns="0" upright="0">
                      <a:spAutoFit/>
                    </wps:bodyPr>
                  </wps:wsp>
                </a:graphicData>
              </a:graphic>
            </wp:anchor>
          </w:drawing>
        </mc:Choice>
        <mc:Fallback>
          <w:pict>
            <v:shape id="文本框 4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IuIXkcoBAACaAwAADgAAAAAAAAABACAAAAAeAQAAZHJzL2Uyb0Rv&#10;Yy54bWxQSwUGAAAAAAYABgBZAQAAWgUAAAAA&#10;">
              <v:fill on="f" focussize="0,0"/>
              <v:stroke on="f"/>
              <v:imagedata o:title=""/>
              <o:lock v:ext="edit" aspectratio="f"/>
              <v:textbox inset="0mm,0mm,0mm,0mm" style="mso-fit-shape-to-text:t;">
                <w:txbxContent>
                  <w:p>
                    <w:pPr>
                      <w:pStyle w:val="16"/>
                      <w:rPr>
                        <w:rFonts w:hint="eastAsia"/>
                      </w:rPr>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v:textbox>
            </v:shape>
          </w:pict>
        </mc:Fallback>
      </mc:AlternateContent>
    </w:r>
    <w:r>
      <w:rPr>
        <w:kern w:val="0"/>
        <w:szCs w:val="21"/>
      </w:rPr>
      <w:t>-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jc w:val="left"/>
      <w:rPr>
        <w:szCs w:val="18"/>
      </w:rPr>
    </w:pPr>
    <w:r>
      <w:rPr>
        <w:rFonts w:hint="eastAsia" w:ascii="宋体" w:hAnsi="宋体" w:eastAsia="宋体" w:cs="宋体"/>
        <w:sz w:val="21"/>
        <w:szCs w:val="21"/>
        <w:lang w:eastAsia="zh-CN"/>
      </w:rPr>
      <w:t>zxzb2021081</w:t>
    </w:r>
    <w:r>
      <w:rPr>
        <w:rFonts w:hint="eastAsia" w:ascii="宋体" w:hAnsi="宋体"/>
        <w:bCs/>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p>
    <w:pPr>
      <w:pStyle w:val="17"/>
      <w:jc w:val="left"/>
      <w:rPr>
        <w:sz w:val="21"/>
        <w:szCs w:val="21"/>
      </w:rPr>
    </w:pPr>
    <w:r>
      <w:rPr>
        <w:rFonts w:hint="eastAsia" w:ascii="宋体" w:hAnsi="宋体"/>
        <w:bCs/>
        <w:sz w:val="21"/>
        <w:szCs w:val="21"/>
      </w:rPr>
      <w:t>坛政采竞谈</w:t>
    </w:r>
    <w:r>
      <w:rPr>
        <w:rFonts w:ascii="宋体" w:hAnsi="宋体"/>
        <w:bCs/>
        <w:sz w:val="21"/>
        <w:szCs w:val="21"/>
      </w:rPr>
      <w:t>[2018]0007</w:t>
    </w:r>
    <w:r>
      <w:rPr>
        <w:rFonts w:hint="eastAsia" w:ascii="宋体" w:hAnsi="宋体"/>
        <w:bCs/>
        <w:sz w:val="21"/>
        <w:szCs w:val="21"/>
      </w:rPr>
      <w:t>号                                                       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pPr>
    <w:r>
      <w:rPr>
        <w:rFonts w:hint="eastAsia" w:ascii="宋体" w:hAnsi="宋体" w:eastAsia="宋体" w:cs="宋体"/>
        <w:sz w:val="21"/>
        <w:szCs w:val="21"/>
        <w:lang w:eastAsia="zh-CN"/>
      </w:rPr>
      <w:t>zxzb2021081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p>
    <w:pPr>
      <w:pStyle w:val="17"/>
      <w:pBdr>
        <w:bottom w:val="single" w:color="auto" w:sz="4" w:space="1"/>
      </w:pBdr>
      <w:rPr>
        <w:rFonts w:hint="eastAsia"/>
      </w:rPr>
    </w:pPr>
    <w:r>
      <w:rPr>
        <w:rFonts w:hint="eastAsia"/>
      </w:rPr>
      <w:t>坛政采竞磋[2020]0007号</w:t>
    </w:r>
    <w:r>
      <w:rPr>
        <w:rFonts w:hint="eastAsia"/>
      </w:rPr>
      <w:tab/>
    </w:r>
    <w:r>
      <w:rPr>
        <w:rFonts w:hint="eastAsia"/>
      </w:rPr>
      <w:t xml:space="preserve">                                                                         公开谈判文件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rPr>
    </w:pPr>
  </w:p>
  <w:p>
    <w:pPr>
      <w:pStyle w:val="17"/>
      <w:pBdr>
        <w:bottom w:val="single" w:color="auto" w:sz="4" w:space="1"/>
      </w:pBdr>
      <w:rPr>
        <w:rFonts w:hint="eastAsia"/>
      </w:rPr>
    </w:pPr>
    <w:r>
      <w:rPr>
        <w:rFonts w:hint="eastAsia"/>
      </w:rPr>
      <w:tab/>
    </w:r>
    <w:r>
      <w:rPr>
        <w:rFonts w:hint="eastAsia"/>
      </w:rPr>
      <w:tab/>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0"/>
    <w:multiLevelType w:val="multilevel"/>
    <w:tmpl w:val="00000020"/>
    <w:lvl w:ilvl="0" w:tentative="0">
      <w:start w:val="1"/>
      <w:numFmt w:val="decimal"/>
      <w:pStyle w:val="37"/>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2C60D293"/>
    <w:multiLevelType w:val="singleLevel"/>
    <w:tmpl w:val="2C60D293"/>
    <w:lvl w:ilvl="0" w:tentative="0">
      <w:start w:val="1"/>
      <w:numFmt w:val="decimal"/>
      <w:suff w:val="nothing"/>
      <w:lvlText w:val="（%1）"/>
      <w:lvlJc w:val="left"/>
    </w:lvl>
  </w:abstractNum>
  <w:abstractNum w:abstractNumId="2">
    <w:nsid w:val="3C09266C"/>
    <w:multiLevelType w:val="singleLevel"/>
    <w:tmpl w:val="3C09266C"/>
    <w:lvl w:ilvl="0" w:tentative="0">
      <w:start w:val="1"/>
      <w:numFmt w:val="decimal"/>
      <w:suff w:val="space"/>
      <w:lvlText w:val="%1."/>
      <w:lvlJc w:val="left"/>
    </w:lvl>
  </w:abstractNum>
  <w:abstractNum w:abstractNumId="3">
    <w:nsid w:val="53150651"/>
    <w:multiLevelType w:val="singleLevel"/>
    <w:tmpl w:val="53150651"/>
    <w:lvl w:ilvl="0" w:tentative="0">
      <w:start w:val="4"/>
      <w:numFmt w:val="chineseCounting"/>
      <w:suff w:val="space"/>
      <w:lvlText w:val="第%1部分"/>
      <w:lvlJc w:val="left"/>
      <w:rPr>
        <w:rFonts w:hint="eastAsia"/>
      </w:rPr>
    </w:lvl>
  </w:abstractNum>
  <w:abstractNum w:abstractNumId="4">
    <w:nsid w:val="59856F70"/>
    <w:multiLevelType w:val="singleLevel"/>
    <w:tmpl w:val="59856F70"/>
    <w:lvl w:ilvl="0" w:tentative="0">
      <w:start w:val="1"/>
      <w:numFmt w:val="decimal"/>
      <w:suff w:val="nothing"/>
      <w:lvlText w:val="（%1）"/>
      <w:lvlJc w:val="left"/>
    </w:lvl>
  </w:abstractNum>
  <w:abstractNum w:abstractNumId="5">
    <w:nsid w:val="59BA97E5"/>
    <w:multiLevelType w:val="singleLevel"/>
    <w:tmpl w:val="59BA97E5"/>
    <w:lvl w:ilvl="0" w:tentative="0">
      <w:start w:val="1"/>
      <w:numFmt w:val="decimal"/>
      <w:suff w:val="nothing"/>
      <w:lvlText w:val="%1."/>
      <w:lvlJc w:val="left"/>
    </w:lvl>
  </w:abstractNum>
  <w:num w:numId="1">
    <w:abstractNumId w:val="0"/>
  </w:num>
  <w:num w:numId="2">
    <w:abstractNumId w:val="1"/>
  </w:num>
  <w:num w:numId="3">
    <w:abstractNumId w:val="3"/>
  </w:num>
  <w:num w:numId="4">
    <w:abstractNumId w:val="5"/>
  </w:num>
  <w:num w:numId="5">
    <w:abstractNumId w:val="4"/>
    <w:lvlOverride w:ilvl="0">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58.216.242.31:8084/cgzx/OfficeServer"/>
  </w:docVars>
  <w:rsids>
    <w:rsidRoot w:val="00365940"/>
    <w:rsid w:val="00072725"/>
    <w:rsid w:val="00086C42"/>
    <w:rsid w:val="001621BF"/>
    <w:rsid w:val="002A6350"/>
    <w:rsid w:val="00303F32"/>
    <w:rsid w:val="00333E5F"/>
    <w:rsid w:val="00365940"/>
    <w:rsid w:val="003779FD"/>
    <w:rsid w:val="005258C7"/>
    <w:rsid w:val="00544692"/>
    <w:rsid w:val="005A720A"/>
    <w:rsid w:val="006A0337"/>
    <w:rsid w:val="00707A84"/>
    <w:rsid w:val="00741B2C"/>
    <w:rsid w:val="007514C0"/>
    <w:rsid w:val="00785362"/>
    <w:rsid w:val="008708C3"/>
    <w:rsid w:val="008D644B"/>
    <w:rsid w:val="00971E94"/>
    <w:rsid w:val="00973596"/>
    <w:rsid w:val="009E41FF"/>
    <w:rsid w:val="00A61448"/>
    <w:rsid w:val="00AB55D7"/>
    <w:rsid w:val="00AB702D"/>
    <w:rsid w:val="00B26808"/>
    <w:rsid w:val="00B61325"/>
    <w:rsid w:val="00B64FE7"/>
    <w:rsid w:val="00B7016D"/>
    <w:rsid w:val="00C703A2"/>
    <w:rsid w:val="00CC2844"/>
    <w:rsid w:val="00E158C0"/>
    <w:rsid w:val="00E53752"/>
    <w:rsid w:val="01090BE9"/>
    <w:rsid w:val="014479D1"/>
    <w:rsid w:val="01487151"/>
    <w:rsid w:val="01552B1E"/>
    <w:rsid w:val="01731A19"/>
    <w:rsid w:val="01745C5C"/>
    <w:rsid w:val="018A5990"/>
    <w:rsid w:val="01991165"/>
    <w:rsid w:val="01A00EF2"/>
    <w:rsid w:val="01C0652F"/>
    <w:rsid w:val="01CA3A93"/>
    <w:rsid w:val="01D74854"/>
    <w:rsid w:val="01E97306"/>
    <w:rsid w:val="01EE7064"/>
    <w:rsid w:val="02291B0D"/>
    <w:rsid w:val="025652C3"/>
    <w:rsid w:val="028046CE"/>
    <w:rsid w:val="02983956"/>
    <w:rsid w:val="029E234B"/>
    <w:rsid w:val="02BB3441"/>
    <w:rsid w:val="02D11C3A"/>
    <w:rsid w:val="02F77C1C"/>
    <w:rsid w:val="02FC5697"/>
    <w:rsid w:val="03253A0F"/>
    <w:rsid w:val="032C3D9B"/>
    <w:rsid w:val="0336274E"/>
    <w:rsid w:val="03375E3C"/>
    <w:rsid w:val="033D5F48"/>
    <w:rsid w:val="03562B97"/>
    <w:rsid w:val="03582F13"/>
    <w:rsid w:val="035F3CB6"/>
    <w:rsid w:val="03704156"/>
    <w:rsid w:val="038012E3"/>
    <w:rsid w:val="03930012"/>
    <w:rsid w:val="039A2854"/>
    <w:rsid w:val="039B3C71"/>
    <w:rsid w:val="03C50F06"/>
    <w:rsid w:val="03E71815"/>
    <w:rsid w:val="03F05DFE"/>
    <w:rsid w:val="042B74BC"/>
    <w:rsid w:val="04376065"/>
    <w:rsid w:val="04B517F8"/>
    <w:rsid w:val="04B86C70"/>
    <w:rsid w:val="04D33882"/>
    <w:rsid w:val="050A2967"/>
    <w:rsid w:val="05187D51"/>
    <w:rsid w:val="05274434"/>
    <w:rsid w:val="05306C09"/>
    <w:rsid w:val="053F68EC"/>
    <w:rsid w:val="05495DEB"/>
    <w:rsid w:val="055222BB"/>
    <w:rsid w:val="055724BA"/>
    <w:rsid w:val="05600525"/>
    <w:rsid w:val="05636F6C"/>
    <w:rsid w:val="057826CC"/>
    <w:rsid w:val="058315E3"/>
    <w:rsid w:val="05A82733"/>
    <w:rsid w:val="05A910AD"/>
    <w:rsid w:val="05B837C3"/>
    <w:rsid w:val="05BF7581"/>
    <w:rsid w:val="05DC7E60"/>
    <w:rsid w:val="05EF4A80"/>
    <w:rsid w:val="061903BA"/>
    <w:rsid w:val="063B66B9"/>
    <w:rsid w:val="06494454"/>
    <w:rsid w:val="064D2481"/>
    <w:rsid w:val="06643CE0"/>
    <w:rsid w:val="069A56A6"/>
    <w:rsid w:val="070A15B1"/>
    <w:rsid w:val="07262ECE"/>
    <w:rsid w:val="07307E40"/>
    <w:rsid w:val="07AA45D1"/>
    <w:rsid w:val="07D56876"/>
    <w:rsid w:val="07D87870"/>
    <w:rsid w:val="08201180"/>
    <w:rsid w:val="08203A3E"/>
    <w:rsid w:val="08227E58"/>
    <w:rsid w:val="08290F43"/>
    <w:rsid w:val="083D4B5C"/>
    <w:rsid w:val="085966BC"/>
    <w:rsid w:val="086C57C1"/>
    <w:rsid w:val="08926025"/>
    <w:rsid w:val="08B56CFE"/>
    <w:rsid w:val="08C1427A"/>
    <w:rsid w:val="091874F3"/>
    <w:rsid w:val="09544A45"/>
    <w:rsid w:val="096A21D5"/>
    <w:rsid w:val="097465F1"/>
    <w:rsid w:val="097E0D3E"/>
    <w:rsid w:val="09D70527"/>
    <w:rsid w:val="09F832A6"/>
    <w:rsid w:val="0A166A5C"/>
    <w:rsid w:val="0A2237CA"/>
    <w:rsid w:val="0A2906DF"/>
    <w:rsid w:val="0A30580E"/>
    <w:rsid w:val="0A3D7552"/>
    <w:rsid w:val="0A481134"/>
    <w:rsid w:val="0A8B02AB"/>
    <w:rsid w:val="0A9555ED"/>
    <w:rsid w:val="0AA27594"/>
    <w:rsid w:val="0AA35AED"/>
    <w:rsid w:val="0AD728C6"/>
    <w:rsid w:val="0ADD1F3E"/>
    <w:rsid w:val="0B091324"/>
    <w:rsid w:val="0B5C5CFE"/>
    <w:rsid w:val="0B7E3AA0"/>
    <w:rsid w:val="0B941143"/>
    <w:rsid w:val="0BA357D6"/>
    <w:rsid w:val="0BAA5B26"/>
    <w:rsid w:val="0BBD4CB3"/>
    <w:rsid w:val="0BC22731"/>
    <w:rsid w:val="0BCB171D"/>
    <w:rsid w:val="0BD54E1A"/>
    <w:rsid w:val="0BE76FAA"/>
    <w:rsid w:val="0BF324AC"/>
    <w:rsid w:val="0C090759"/>
    <w:rsid w:val="0C2D5005"/>
    <w:rsid w:val="0C534E68"/>
    <w:rsid w:val="0C724E68"/>
    <w:rsid w:val="0C9339FA"/>
    <w:rsid w:val="0C9F54CC"/>
    <w:rsid w:val="0CA66DE4"/>
    <w:rsid w:val="0CA82676"/>
    <w:rsid w:val="0CD17690"/>
    <w:rsid w:val="0CEE17BE"/>
    <w:rsid w:val="0CF655D5"/>
    <w:rsid w:val="0CFD44FA"/>
    <w:rsid w:val="0D07793E"/>
    <w:rsid w:val="0D1B20AB"/>
    <w:rsid w:val="0D1D681E"/>
    <w:rsid w:val="0D5476EA"/>
    <w:rsid w:val="0D55490A"/>
    <w:rsid w:val="0D62618C"/>
    <w:rsid w:val="0D8D77AB"/>
    <w:rsid w:val="0DAA0B32"/>
    <w:rsid w:val="0DAA1ECE"/>
    <w:rsid w:val="0DB0522C"/>
    <w:rsid w:val="0DDC6713"/>
    <w:rsid w:val="0E213F07"/>
    <w:rsid w:val="0E461C68"/>
    <w:rsid w:val="0E591160"/>
    <w:rsid w:val="0E5F7D96"/>
    <w:rsid w:val="0E66183B"/>
    <w:rsid w:val="0E69487D"/>
    <w:rsid w:val="0E6E3A30"/>
    <w:rsid w:val="0E9C18F3"/>
    <w:rsid w:val="0EB44E50"/>
    <w:rsid w:val="0ED37944"/>
    <w:rsid w:val="0ED44EC9"/>
    <w:rsid w:val="0EDA08E3"/>
    <w:rsid w:val="0EF2632A"/>
    <w:rsid w:val="0F1C23D8"/>
    <w:rsid w:val="0F4058D2"/>
    <w:rsid w:val="0F4A1C42"/>
    <w:rsid w:val="0F615D77"/>
    <w:rsid w:val="0F96742C"/>
    <w:rsid w:val="0F9C2B14"/>
    <w:rsid w:val="0FA80E67"/>
    <w:rsid w:val="0FA919AE"/>
    <w:rsid w:val="0FC32790"/>
    <w:rsid w:val="0FC47B92"/>
    <w:rsid w:val="0FC91FAB"/>
    <w:rsid w:val="0FD92DC1"/>
    <w:rsid w:val="0FDF37DF"/>
    <w:rsid w:val="0FE32163"/>
    <w:rsid w:val="0FFA1FB4"/>
    <w:rsid w:val="1016358A"/>
    <w:rsid w:val="1021300E"/>
    <w:rsid w:val="102A678B"/>
    <w:rsid w:val="103E60AC"/>
    <w:rsid w:val="104948B6"/>
    <w:rsid w:val="106F4A95"/>
    <w:rsid w:val="1077076F"/>
    <w:rsid w:val="10987B7A"/>
    <w:rsid w:val="10A22BAB"/>
    <w:rsid w:val="10D4423D"/>
    <w:rsid w:val="10E376FE"/>
    <w:rsid w:val="111C2C59"/>
    <w:rsid w:val="11334903"/>
    <w:rsid w:val="114225AA"/>
    <w:rsid w:val="11595BBF"/>
    <w:rsid w:val="1160796A"/>
    <w:rsid w:val="11AF52A3"/>
    <w:rsid w:val="11C041A1"/>
    <w:rsid w:val="11E875FA"/>
    <w:rsid w:val="11F019EB"/>
    <w:rsid w:val="12007AA0"/>
    <w:rsid w:val="1204157E"/>
    <w:rsid w:val="12115609"/>
    <w:rsid w:val="12643341"/>
    <w:rsid w:val="127C7B12"/>
    <w:rsid w:val="12804D69"/>
    <w:rsid w:val="1293332E"/>
    <w:rsid w:val="12A2279B"/>
    <w:rsid w:val="12BE3895"/>
    <w:rsid w:val="12BF7A58"/>
    <w:rsid w:val="12C76562"/>
    <w:rsid w:val="12D20D8A"/>
    <w:rsid w:val="12D24E35"/>
    <w:rsid w:val="12DA509C"/>
    <w:rsid w:val="12F714B1"/>
    <w:rsid w:val="130F1853"/>
    <w:rsid w:val="13180277"/>
    <w:rsid w:val="13243B5F"/>
    <w:rsid w:val="133E341A"/>
    <w:rsid w:val="134D4E44"/>
    <w:rsid w:val="13571F5F"/>
    <w:rsid w:val="13852E2E"/>
    <w:rsid w:val="138903FC"/>
    <w:rsid w:val="13B850C3"/>
    <w:rsid w:val="13BA603F"/>
    <w:rsid w:val="13E222C4"/>
    <w:rsid w:val="13E2535F"/>
    <w:rsid w:val="13FC69B6"/>
    <w:rsid w:val="14096120"/>
    <w:rsid w:val="14170F57"/>
    <w:rsid w:val="141F230A"/>
    <w:rsid w:val="14571E2D"/>
    <w:rsid w:val="14662F34"/>
    <w:rsid w:val="146A4620"/>
    <w:rsid w:val="147A3A11"/>
    <w:rsid w:val="14912F59"/>
    <w:rsid w:val="149C2E77"/>
    <w:rsid w:val="14A2590B"/>
    <w:rsid w:val="14A7699F"/>
    <w:rsid w:val="14B2547F"/>
    <w:rsid w:val="14E466F6"/>
    <w:rsid w:val="14F008FE"/>
    <w:rsid w:val="14FD61B5"/>
    <w:rsid w:val="150602C4"/>
    <w:rsid w:val="150D7B07"/>
    <w:rsid w:val="150F6320"/>
    <w:rsid w:val="15374F4C"/>
    <w:rsid w:val="156D1451"/>
    <w:rsid w:val="158360BC"/>
    <w:rsid w:val="158879EB"/>
    <w:rsid w:val="15A2485D"/>
    <w:rsid w:val="15C26363"/>
    <w:rsid w:val="15D43518"/>
    <w:rsid w:val="15D53AEA"/>
    <w:rsid w:val="15E25768"/>
    <w:rsid w:val="160B51B0"/>
    <w:rsid w:val="162E7812"/>
    <w:rsid w:val="16303257"/>
    <w:rsid w:val="16372889"/>
    <w:rsid w:val="164315AE"/>
    <w:rsid w:val="16524733"/>
    <w:rsid w:val="16773616"/>
    <w:rsid w:val="16E24922"/>
    <w:rsid w:val="16E53451"/>
    <w:rsid w:val="16FA3FA5"/>
    <w:rsid w:val="17050291"/>
    <w:rsid w:val="17057F96"/>
    <w:rsid w:val="17156704"/>
    <w:rsid w:val="1723384C"/>
    <w:rsid w:val="17586B87"/>
    <w:rsid w:val="175F70CC"/>
    <w:rsid w:val="17716698"/>
    <w:rsid w:val="1779519C"/>
    <w:rsid w:val="1798752A"/>
    <w:rsid w:val="17D0608E"/>
    <w:rsid w:val="17D2165B"/>
    <w:rsid w:val="17FB6805"/>
    <w:rsid w:val="18350840"/>
    <w:rsid w:val="184A4AA2"/>
    <w:rsid w:val="18626008"/>
    <w:rsid w:val="187914D0"/>
    <w:rsid w:val="18A50DB5"/>
    <w:rsid w:val="18F16CDC"/>
    <w:rsid w:val="19055D8A"/>
    <w:rsid w:val="19166F4F"/>
    <w:rsid w:val="191D1C89"/>
    <w:rsid w:val="1973240C"/>
    <w:rsid w:val="19977CA6"/>
    <w:rsid w:val="199C3C8D"/>
    <w:rsid w:val="19C62137"/>
    <w:rsid w:val="19DD707C"/>
    <w:rsid w:val="19F00BDC"/>
    <w:rsid w:val="1A0B6EBE"/>
    <w:rsid w:val="1A304EA4"/>
    <w:rsid w:val="1A5F41E3"/>
    <w:rsid w:val="1A9255F6"/>
    <w:rsid w:val="1AA1669F"/>
    <w:rsid w:val="1AB97362"/>
    <w:rsid w:val="1ABE3605"/>
    <w:rsid w:val="1AE62B02"/>
    <w:rsid w:val="1AF001AD"/>
    <w:rsid w:val="1AFF4111"/>
    <w:rsid w:val="1B2621B7"/>
    <w:rsid w:val="1B3B1DF0"/>
    <w:rsid w:val="1B6876A0"/>
    <w:rsid w:val="1B6C6014"/>
    <w:rsid w:val="1B886730"/>
    <w:rsid w:val="1B8A2458"/>
    <w:rsid w:val="1B920832"/>
    <w:rsid w:val="1BDD264C"/>
    <w:rsid w:val="1BF96AFE"/>
    <w:rsid w:val="1C430986"/>
    <w:rsid w:val="1C4D0D03"/>
    <w:rsid w:val="1C9531F3"/>
    <w:rsid w:val="1CE2730A"/>
    <w:rsid w:val="1CEC7D1D"/>
    <w:rsid w:val="1CED68C4"/>
    <w:rsid w:val="1CF54890"/>
    <w:rsid w:val="1D00545F"/>
    <w:rsid w:val="1D117044"/>
    <w:rsid w:val="1D4A0F6F"/>
    <w:rsid w:val="1D583219"/>
    <w:rsid w:val="1D5A68F9"/>
    <w:rsid w:val="1D5D4CCC"/>
    <w:rsid w:val="1D7075FF"/>
    <w:rsid w:val="1D8E01C0"/>
    <w:rsid w:val="1D8E0B10"/>
    <w:rsid w:val="1D9663C3"/>
    <w:rsid w:val="1DA9044E"/>
    <w:rsid w:val="1DC352AE"/>
    <w:rsid w:val="1DC51234"/>
    <w:rsid w:val="1DC87EBC"/>
    <w:rsid w:val="1DD15A11"/>
    <w:rsid w:val="1DE01D51"/>
    <w:rsid w:val="1DE76CF0"/>
    <w:rsid w:val="1DEB2BD2"/>
    <w:rsid w:val="1E165B87"/>
    <w:rsid w:val="1E1A45F2"/>
    <w:rsid w:val="1E2143AB"/>
    <w:rsid w:val="1E243B5A"/>
    <w:rsid w:val="1E411DE1"/>
    <w:rsid w:val="1E616258"/>
    <w:rsid w:val="1E6409A7"/>
    <w:rsid w:val="1E7825A0"/>
    <w:rsid w:val="1E9B3890"/>
    <w:rsid w:val="1EA54AB8"/>
    <w:rsid w:val="1EB5310B"/>
    <w:rsid w:val="1EC76772"/>
    <w:rsid w:val="1EFF3A40"/>
    <w:rsid w:val="1F1174A1"/>
    <w:rsid w:val="1F227579"/>
    <w:rsid w:val="1F32343B"/>
    <w:rsid w:val="1F3E7092"/>
    <w:rsid w:val="1F4873DE"/>
    <w:rsid w:val="1F655F07"/>
    <w:rsid w:val="1F781AC5"/>
    <w:rsid w:val="1F9447AF"/>
    <w:rsid w:val="1FA117FA"/>
    <w:rsid w:val="1FA701C4"/>
    <w:rsid w:val="1FDC28F8"/>
    <w:rsid w:val="1FDF1918"/>
    <w:rsid w:val="1FF334E5"/>
    <w:rsid w:val="20027576"/>
    <w:rsid w:val="200B49CD"/>
    <w:rsid w:val="201B4283"/>
    <w:rsid w:val="201F76AC"/>
    <w:rsid w:val="2046266A"/>
    <w:rsid w:val="2056462C"/>
    <w:rsid w:val="20650B60"/>
    <w:rsid w:val="206B705A"/>
    <w:rsid w:val="20794129"/>
    <w:rsid w:val="20B023C8"/>
    <w:rsid w:val="20B124E8"/>
    <w:rsid w:val="20B207DF"/>
    <w:rsid w:val="20CC5792"/>
    <w:rsid w:val="20D15029"/>
    <w:rsid w:val="20D77B03"/>
    <w:rsid w:val="20DB007F"/>
    <w:rsid w:val="20E07500"/>
    <w:rsid w:val="20E37DC1"/>
    <w:rsid w:val="20FF4D1B"/>
    <w:rsid w:val="210636C0"/>
    <w:rsid w:val="212546FD"/>
    <w:rsid w:val="214238FA"/>
    <w:rsid w:val="21745585"/>
    <w:rsid w:val="21967D28"/>
    <w:rsid w:val="21B11C7E"/>
    <w:rsid w:val="21F21A0C"/>
    <w:rsid w:val="22380F17"/>
    <w:rsid w:val="223D2BB5"/>
    <w:rsid w:val="22491CA2"/>
    <w:rsid w:val="22557A22"/>
    <w:rsid w:val="226849DE"/>
    <w:rsid w:val="228D6A62"/>
    <w:rsid w:val="22A468A2"/>
    <w:rsid w:val="22AC60DE"/>
    <w:rsid w:val="22B628FF"/>
    <w:rsid w:val="22D1479F"/>
    <w:rsid w:val="22E13A5D"/>
    <w:rsid w:val="22F33691"/>
    <w:rsid w:val="22FF5396"/>
    <w:rsid w:val="230D111B"/>
    <w:rsid w:val="23341D69"/>
    <w:rsid w:val="23392B35"/>
    <w:rsid w:val="23491F1B"/>
    <w:rsid w:val="23586BC8"/>
    <w:rsid w:val="239F00B7"/>
    <w:rsid w:val="239F2DB7"/>
    <w:rsid w:val="23C660AE"/>
    <w:rsid w:val="23C93D91"/>
    <w:rsid w:val="23CB78B6"/>
    <w:rsid w:val="240A54BD"/>
    <w:rsid w:val="241473FC"/>
    <w:rsid w:val="243E7279"/>
    <w:rsid w:val="245E3DB0"/>
    <w:rsid w:val="246531E1"/>
    <w:rsid w:val="24A700DF"/>
    <w:rsid w:val="24DD5121"/>
    <w:rsid w:val="24F873A2"/>
    <w:rsid w:val="24FF208D"/>
    <w:rsid w:val="25011654"/>
    <w:rsid w:val="250F7DD7"/>
    <w:rsid w:val="252A5C10"/>
    <w:rsid w:val="254F14B8"/>
    <w:rsid w:val="25703FEA"/>
    <w:rsid w:val="258875B0"/>
    <w:rsid w:val="25AF0600"/>
    <w:rsid w:val="25FD3CFA"/>
    <w:rsid w:val="260E01CB"/>
    <w:rsid w:val="261303CE"/>
    <w:rsid w:val="26153BA0"/>
    <w:rsid w:val="262533AE"/>
    <w:rsid w:val="262B654E"/>
    <w:rsid w:val="26471CC7"/>
    <w:rsid w:val="266A18FD"/>
    <w:rsid w:val="266A5FA7"/>
    <w:rsid w:val="26833CFA"/>
    <w:rsid w:val="269E6E0F"/>
    <w:rsid w:val="26A775F2"/>
    <w:rsid w:val="26AF4C28"/>
    <w:rsid w:val="26B42DC5"/>
    <w:rsid w:val="26C01CEF"/>
    <w:rsid w:val="26DF0B92"/>
    <w:rsid w:val="26E42325"/>
    <w:rsid w:val="26E9351E"/>
    <w:rsid w:val="26F04124"/>
    <w:rsid w:val="27150C37"/>
    <w:rsid w:val="272D70D2"/>
    <w:rsid w:val="27426AA2"/>
    <w:rsid w:val="274B2B0A"/>
    <w:rsid w:val="27663B6D"/>
    <w:rsid w:val="27795660"/>
    <w:rsid w:val="277F2FB8"/>
    <w:rsid w:val="278916F0"/>
    <w:rsid w:val="27AD018C"/>
    <w:rsid w:val="27AF3054"/>
    <w:rsid w:val="27B974E4"/>
    <w:rsid w:val="27CD03DE"/>
    <w:rsid w:val="27CF4CFF"/>
    <w:rsid w:val="27D61693"/>
    <w:rsid w:val="27D72C1F"/>
    <w:rsid w:val="27DC1887"/>
    <w:rsid w:val="282762D9"/>
    <w:rsid w:val="282E4BA6"/>
    <w:rsid w:val="283F3A22"/>
    <w:rsid w:val="28425DB8"/>
    <w:rsid w:val="2880719D"/>
    <w:rsid w:val="28A702E3"/>
    <w:rsid w:val="28CE0B11"/>
    <w:rsid w:val="28CF3078"/>
    <w:rsid w:val="28DD349D"/>
    <w:rsid w:val="28EA2967"/>
    <w:rsid w:val="291826F1"/>
    <w:rsid w:val="292A106B"/>
    <w:rsid w:val="292D18AD"/>
    <w:rsid w:val="29427D2A"/>
    <w:rsid w:val="294B47F5"/>
    <w:rsid w:val="2971353F"/>
    <w:rsid w:val="29765961"/>
    <w:rsid w:val="2994265D"/>
    <w:rsid w:val="29B64B9C"/>
    <w:rsid w:val="29D67A6E"/>
    <w:rsid w:val="29E0216B"/>
    <w:rsid w:val="2A1F7E36"/>
    <w:rsid w:val="2A2D5A40"/>
    <w:rsid w:val="2A445B6C"/>
    <w:rsid w:val="2A507518"/>
    <w:rsid w:val="2A881BF1"/>
    <w:rsid w:val="2A883E6A"/>
    <w:rsid w:val="2A966E00"/>
    <w:rsid w:val="2ABE5FF3"/>
    <w:rsid w:val="2AD3799C"/>
    <w:rsid w:val="2B013759"/>
    <w:rsid w:val="2B1171D7"/>
    <w:rsid w:val="2B194477"/>
    <w:rsid w:val="2B236303"/>
    <w:rsid w:val="2B241A8D"/>
    <w:rsid w:val="2B4C19F3"/>
    <w:rsid w:val="2B5004C4"/>
    <w:rsid w:val="2B580533"/>
    <w:rsid w:val="2B64426A"/>
    <w:rsid w:val="2B753883"/>
    <w:rsid w:val="2B8D1BBF"/>
    <w:rsid w:val="2B8E6CA7"/>
    <w:rsid w:val="2B9525E3"/>
    <w:rsid w:val="2B96299C"/>
    <w:rsid w:val="2B990E1A"/>
    <w:rsid w:val="2B9C053E"/>
    <w:rsid w:val="2BA87166"/>
    <w:rsid w:val="2BBF089E"/>
    <w:rsid w:val="2BD72C9E"/>
    <w:rsid w:val="2BE81BE2"/>
    <w:rsid w:val="2BF76F72"/>
    <w:rsid w:val="2C0D5672"/>
    <w:rsid w:val="2C513B7E"/>
    <w:rsid w:val="2C5E2980"/>
    <w:rsid w:val="2C931D6C"/>
    <w:rsid w:val="2CCE149D"/>
    <w:rsid w:val="2CE031E2"/>
    <w:rsid w:val="2D104BE5"/>
    <w:rsid w:val="2D152562"/>
    <w:rsid w:val="2D2A7ACD"/>
    <w:rsid w:val="2D2C2A3A"/>
    <w:rsid w:val="2D4A311E"/>
    <w:rsid w:val="2D617676"/>
    <w:rsid w:val="2D80454B"/>
    <w:rsid w:val="2D8673B5"/>
    <w:rsid w:val="2DCF58AA"/>
    <w:rsid w:val="2DDA5EF4"/>
    <w:rsid w:val="2DEA17EA"/>
    <w:rsid w:val="2DFD3D79"/>
    <w:rsid w:val="2E411053"/>
    <w:rsid w:val="2E526F60"/>
    <w:rsid w:val="2E660500"/>
    <w:rsid w:val="2E8722E7"/>
    <w:rsid w:val="2EA818A9"/>
    <w:rsid w:val="2EAB77A1"/>
    <w:rsid w:val="2EC05BA3"/>
    <w:rsid w:val="2EC8586C"/>
    <w:rsid w:val="2EF57EF4"/>
    <w:rsid w:val="2F0515E3"/>
    <w:rsid w:val="2F135FEA"/>
    <w:rsid w:val="2F2E2D69"/>
    <w:rsid w:val="2F362577"/>
    <w:rsid w:val="2F38628F"/>
    <w:rsid w:val="2F3C3BEA"/>
    <w:rsid w:val="2F6412A8"/>
    <w:rsid w:val="2F6C3AA1"/>
    <w:rsid w:val="2F806F94"/>
    <w:rsid w:val="2F8E747D"/>
    <w:rsid w:val="2FAA7C1E"/>
    <w:rsid w:val="2FB61755"/>
    <w:rsid w:val="2FF86BDE"/>
    <w:rsid w:val="300A4771"/>
    <w:rsid w:val="30101837"/>
    <w:rsid w:val="302114D4"/>
    <w:rsid w:val="302D4CB2"/>
    <w:rsid w:val="3037672D"/>
    <w:rsid w:val="30377C02"/>
    <w:rsid w:val="30613E65"/>
    <w:rsid w:val="307B46D0"/>
    <w:rsid w:val="308E0C33"/>
    <w:rsid w:val="30A46DDD"/>
    <w:rsid w:val="30A84A71"/>
    <w:rsid w:val="30A90CFD"/>
    <w:rsid w:val="30C97B3B"/>
    <w:rsid w:val="30DC7CEC"/>
    <w:rsid w:val="31030972"/>
    <w:rsid w:val="311E7151"/>
    <w:rsid w:val="311F247A"/>
    <w:rsid w:val="31556350"/>
    <w:rsid w:val="317515D9"/>
    <w:rsid w:val="31D17C88"/>
    <w:rsid w:val="31F740AA"/>
    <w:rsid w:val="31F94E97"/>
    <w:rsid w:val="32087EBD"/>
    <w:rsid w:val="32117D06"/>
    <w:rsid w:val="321923FE"/>
    <w:rsid w:val="32270F0D"/>
    <w:rsid w:val="32347D7B"/>
    <w:rsid w:val="3245403A"/>
    <w:rsid w:val="325513EE"/>
    <w:rsid w:val="325C6065"/>
    <w:rsid w:val="326E4336"/>
    <w:rsid w:val="32760A59"/>
    <w:rsid w:val="32813937"/>
    <w:rsid w:val="32B42AE7"/>
    <w:rsid w:val="32D17955"/>
    <w:rsid w:val="32D24A21"/>
    <w:rsid w:val="32D552B4"/>
    <w:rsid w:val="33056D76"/>
    <w:rsid w:val="330959D4"/>
    <w:rsid w:val="330A22E2"/>
    <w:rsid w:val="33142E4B"/>
    <w:rsid w:val="331B06FA"/>
    <w:rsid w:val="332876C8"/>
    <w:rsid w:val="33586052"/>
    <w:rsid w:val="33631136"/>
    <w:rsid w:val="336B7766"/>
    <w:rsid w:val="339A6682"/>
    <w:rsid w:val="339E7ACD"/>
    <w:rsid w:val="33A5263A"/>
    <w:rsid w:val="33D924C2"/>
    <w:rsid w:val="3410667A"/>
    <w:rsid w:val="34341696"/>
    <w:rsid w:val="344030E3"/>
    <w:rsid w:val="34570624"/>
    <w:rsid w:val="34653EB2"/>
    <w:rsid w:val="346B35E9"/>
    <w:rsid w:val="347757EF"/>
    <w:rsid w:val="348C718C"/>
    <w:rsid w:val="349E3031"/>
    <w:rsid w:val="34BA02FC"/>
    <w:rsid w:val="34DB6A1D"/>
    <w:rsid w:val="34EF221F"/>
    <w:rsid w:val="35011338"/>
    <w:rsid w:val="353527BE"/>
    <w:rsid w:val="353E2ADF"/>
    <w:rsid w:val="3547792F"/>
    <w:rsid w:val="355347A3"/>
    <w:rsid w:val="355B63BA"/>
    <w:rsid w:val="3583381D"/>
    <w:rsid w:val="358E5741"/>
    <w:rsid w:val="35936E96"/>
    <w:rsid w:val="35AA43DF"/>
    <w:rsid w:val="35DD39DD"/>
    <w:rsid w:val="36042AEE"/>
    <w:rsid w:val="3619221E"/>
    <w:rsid w:val="36314F32"/>
    <w:rsid w:val="363F7332"/>
    <w:rsid w:val="364516BA"/>
    <w:rsid w:val="36572E0F"/>
    <w:rsid w:val="36644975"/>
    <w:rsid w:val="367573B2"/>
    <w:rsid w:val="36795E61"/>
    <w:rsid w:val="36880112"/>
    <w:rsid w:val="368B55C8"/>
    <w:rsid w:val="36991541"/>
    <w:rsid w:val="369C41EA"/>
    <w:rsid w:val="36D261DB"/>
    <w:rsid w:val="36D43DCF"/>
    <w:rsid w:val="370A025A"/>
    <w:rsid w:val="3737708A"/>
    <w:rsid w:val="37517B82"/>
    <w:rsid w:val="376025FA"/>
    <w:rsid w:val="37676DA8"/>
    <w:rsid w:val="376D0B57"/>
    <w:rsid w:val="3787578E"/>
    <w:rsid w:val="37962C2E"/>
    <w:rsid w:val="379B26D4"/>
    <w:rsid w:val="37A77FD4"/>
    <w:rsid w:val="37B13EE8"/>
    <w:rsid w:val="37BE55C6"/>
    <w:rsid w:val="37C84E69"/>
    <w:rsid w:val="37CB045E"/>
    <w:rsid w:val="37D428F9"/>
    <w:rsid w:val="37DB5641"/>
    <w:rsid w:val="37E81D12"/>
    <w:rsid w:val="37F074C4"/>
    <w:rsid w:val="38014386"/>
    <w:rsid w:val="381322E3"/>
    <w:rsid w:val="38153C7C"/>
    <w:rsid w:val="38164734"/>
    <w:rsid w:val="382C0FE5"/>
    <w:rsid w:val="38503B85"/>
    <w:rsid w:val="386C4050"/>
    <w:rsid w:val="38705ABF"/>
    <w:rsid w:val="38AA380B"/>
    <w:rsid w:val="38AA5195"/>
    <w:rsid w:val="38AB0E35"/>
    <w:rsid w:val="38E637C7"/>
    <w:rsid w:val="38F3166B"/>
    <w:rsid w:val="390A7FBB"/>
    <w:rsid w:val="39397EB7"/>
    <w:rsid w:val="393E3A44"/>
    <w:rsid w:val="394127A4"/>
    <w:rsid w:val="39495588"/>
    <w:rsid w:val="396C0180"/>
    <w:rsid w:val="39AD2151"/>
    <w:rsid w:val="39CA6F03"/>
    <w:rsid w:val="39D67A83"/>
    <w:rsid w:val="39FE4C7A"/>
    <w:rsid w:val="3A017979"/>
    <w:rsid w:val="3A34270C"/>
    <w:rsid w:val="3A366903"/>
    <w:rsid w:val="3A374F2B"/>
    <w:rsid w:val="3A3762BF"/>
    <w:rsid w:val="3A717534"/>
    <w:rsid w:val="3A781804"/>
    <w:rsid w:val="3A7B1EC5"/>
    <w:rsid w:val="3A8E08E6"/>
    <w:rsid w:val="3AB616CA"/>
    <w:rsid w:val="3AC73E2B"/>
    <w:rsid w:val="3AD93605"/>
    <w:rsid w:val="3AFA0774"/>
    <w:rsid w:val="3AFF5118"/>
    <w:rsid w:val="3B0B0129"/>
    <w:rsid w:val="3B2E6FB0"/>
    <w:rsid w:val="3B50165F"/>
    <w:rsid w:val="3B5A014B"/>
    <w:rsid w:val="3B5A3EF2"/>
    <w:rsid w:val="3B8357E0"/>
    <w:rsid w:val="3B8D5D03"/>
    <w:rsid w:val="3B930589"/>
    <w:rsid w:val="3BA06206"/>
    <w:rsid w:val="3BB45AEC"/>
    <w:rsid w:val="3BB55C95"/>
    <w:rsid w:val="3BC6262A"/>
    <w:rsid w:val="3BD11EE8"/>
    <w:rsid w:val="3BDD3566"/>
    <w:rsid w:val="3BE97914"/>
    <w:rsid w:val="3BEF7936"/>
    <w:rsid w:val="3C2A56C2"/>
    <w:rsid w:val="3C3150B6"/>
    <w:rsid w:val="3C534488"/>
    <w:rsid w:val="3C6D79EA"/>
    <w:rsid w:val="3C8F35B5"/>
    <w:rsid w:val="3CAE3F89"/>
    <w:rsid w:val="3CB305EA"/>
    <w:rsid w:val="3CBE75A0"/>
    <w:rsid w:val="3CC21E42"/>
    <w:rsid w:val="3CC26A76"/>
    <w:rsid w:val="3CD9201E"/>
    <w:rsid w:val="3CE061B3"/>
    <w:rsid w:val="3CF56351"/>
    <w:rsid w:val="3CFB14DA"/>
    <w:rsid w:val="3D09476D"/>
    <w:rsid w:val="3D1670FF"/>
    <w:rsid w:val="3D3B1D7A"/>
    <w:rsid w:val="3D5B4F1C"/>
    <w:rsid w:val="3D683420"/>
    <w:rsid w:val="3D943FC4"/>
    <w:rsid w:val="3D9817A5"/>
    <w:rsid w:val="3DB17F18"/>
    <w:rsid w:val="3DBF1E7F"/>
    <w:rsid w:val="3DD364F9"/>
    <w:rsid w:val="3DDB7316"/>
    <w:rsid w:val="3DF121E3"/>
    <w:rsid w:val="3E010DAC"/>
    <w:rsid w:val="3E017179"/>
    <w:rsid w:val="3E021C59"/>
    <w:rsid w:val="3E240001"/>
    <w:rsid w:val="3E3F7D26"/>
    <w:rsid w:val="3E5648E6"/>
    <w:rsid w:val="3E6B2011"/>
    <w:rsid w:val="3E7A78DE"/>
    <w:rsid w:val="3E945A50"/>
    <w:rsid w:val="3EAC6E52"/>
    <w:rsid w:val="3EC51507"/>
    <w:rsid w:val="3ED838AC"/>
    <w:rsid w:val="3EEA1532"/>
    <w:rsid w:val="3EF83142"/>
    <w:rsid w:val="3F0119E7"/>
    <w:rsid w:val="3F1459D4"/>
    <w:rsid w:val="3F1D27AA"/>
    <w:rsid w:val="3F273473"/>
    <w:rsid w:val="3F453B42"/>
    <w:rsid w:val="3F515780"/>
    <w:rsid w:val="3F915A09"/>
    <w:rsid w:val="3F9C6F24"/>
    <w:rsid w:val="3FB4790B"/>
    <w:rsid w:val="3FD81B96"/>
    <w:rsid w:val="3FE01F21"/>
    <w:rsid w:val="3FE65095"/>
    <w:rsid w:val="3FF75F01"/>
    <w:rsid w:val="401E0B6D"/>
    <w:rsid w:val="40285724"/>
    <w:rsid w:val="405952A2"/>
    <w:rsid w:val="405B6883"/>
    <w:rsid w:val="407D474C"/>
    <w:rsid w:val="408A562C"/>
    <w:rsid w:val="409747B1"/>
    <w:rsid w:val="409855D0"/>
    <w:rsid w:val="40A917AE"/>
    <w:rsid w:val="40C1735C"/>
    <w:rsid w:val="411E3DD6"/>
    <w:rsid w:val="4139512B"/>
    <w:rsid w:val="416032FB"/>
    <w:rsid w:val="41843701"/>
    <w:rsid w:val="41912657"/>
    <w:rsid w:val="4191378E"/>
    <w:rsid w:val="41A225EC"/>
    <w:rsid w:val="41A4458C"/>
    <w:rsid w:val="41A86441"/>
    <w:rsid w:val="41AD2B20"/>
    <w:rsid w:val="41B84444"/>
    <w:rsid w:val="41CC4646"/>
    <w:rsid w:val="41D132DA"/>
    <w:rsid w:val="41D27AF5"/>
    <w:rsid w:val="41E46ADD"/>
    <w:rsid w:val="42116C6C"/>
    <w:rsid w:val="422E4B40"/>
    <w:rsid w:val="422F2C25"/>
    <w:rsid w:val="4248435D"/>
    <w:rsid w:val="425E0C58"/>
    <w:rsid w:val="426C5BB2"/>
    <w:rsid w:val="426D05B6"/>
    <w:rsid w:val="42844C23"/>
    <w:rsid w:val="429C1272"/>
    <w:rsid w:val="42AA4672"/>
    <w:rsid w:val="42C77908"/>
    <w:rsid w:val="432C7175"/>
    <w:rsid w:val="43366A1D"/>
    <w:rsid w:val="43586DAE"/>
    <w:rsid w:val="43A42DB8"/>
    <w:rsid w:val="43A9010F"/>
    <w:rsid w:val="43A93039"/>
    <w:rsid w:val="43B90170"/>
    <w:rsid w:val="43E61E7D"/>
    <w:rsid w:val="43F6730B"/>
    <w:rsid w:val="440312CD"/>
    <w:rsid w:val="44044F22"/>
    <w:rsid w:val="4407712D"/>
    <w:rsid w:val="440D1628"/>
    <w:rsid w:val="4425037B"/>
    <w:rsid w:val="442B2BA1"/>
    <w:rsid w:val="442E43E8"/>
    <w:rsid w:val="443174ED"/>
    <w:rsid w:val="4436375A"/>
    <w:rsid w:val="443936CA"/>
    <w:rsid w:val="443D25F7"/>
    <w:rsid w:val="444F05F6"/>
    <w:rsid w:val="449E35A3"/>
    <w:rsid w:val="44B51E0A"/>
    <w:rsid w:val="44CF380A"/>
    <w:rsid w:val="450147A0"/>
    <w:rsid w:val="450C0E96"/>
    <w:rsid w:val="45916CC9"/>
    <w:rsid w:val="459B1530"/>
    <w:rsid w:val="45A833F9"/>
    <w:rsid w:val="45AE1B60"/>
    <w:rsid w:val="45B6051C"/>
    <w:rsid w:val="45B80CC2"/>
    <w:rsid w:val="45C73F69"/>
    <w:rsid w:val="46115914"/>
    <w:rsid w:val="461732B8"/>
    <w:rsid w:val="46252E96"/>
    <w:rsid w:val="466676CF"/>
    <w:rsid w:val="469819DF"/>
    <w:rsid w:val="46A94258"/>
    <w:rsid w:val="46B428DE"/>
    <w:rsid w:val="46C71004"/>
    <w:rsid w:val="46D21F0D"/>
    <w:rsid w:val="46D54654"/>
    <w:rsid w:val="46F14E66"/>
    <w:rsid w:val="47246C3A"/>
    <w:rsid w:val="47533771"/>
    <w:rsid w:val="47863B4B"/>
    <w:rsid w:val="479D0184"/>
    <w:rsid w:val="47AA5AE8"/>
    <w:rsid w:val="47AF1C8A"/>
    <w:rsid w:val="47B07E58"/>
    <w:rsid w:val="47C72069"/>
    <w:rsid w:val="47CC7997"/>
    <w:rsid w:val="47E0637B"/>
    <w:rsid w:val="47F02EAB"/>
    <w:rsid w:val="480B1D62"/>
    <w:rsid w:val="480E4822"/>
    <w:rsid w:val="48124868"/>
    <w:rsid w:val="48480800"/>
    <w:rsid w:val="48607F8F"/>
    <w:rsid w:val="488934B0"/>
    <w:rsid w:val="488F6216"/>
    <w:rsid w:val="48B3460F"/>
    <w:rsid w:val="48B86390"/>
    <w:rsid w:val="48D74384"/>
    <w:rsid w:val="48DA071C"/>
    <w:rsid w:val="48E7710C"/>
    <w:rsid w:val="48E77819"/>
    <w:rsid w:val="49083C25"/>
    <w:rsid w:val="492D251A"/>
    <w:rsid w:val="49771CE7"/>
    <w:rsid w:val="49895310"/>
    <w:rsid w:val="49944A16"/>
    <w:rsid w:val="49A442C4"/>
    <w:rsid w:val="49E032C7"/>
    <w:rsid w:val="49E859DD"/>
    <w:rsid w:val="4A0B5B33"/>
    <w:rsid w:val="4A0F3898"/>
    <w:rsid w:val="4A3242DD"/>
    <w:rsid w:val="4A39505A"/>
    <w:rsid w:val="4A3D0F08"/>
    <w:rsid w:val="4A405EE0"/>
    <w:rsid w:val="4A8604DE"/>
    <w:rsid w:val="4A904740"/>
    <w:rsid w:val="4A946B4C"/>
    <w:rsid w:val="4A987733"/>
    <w:rsid w:val="4AB169A9"/>
    <w:rsid w:val="4AF47B25"/>
    <w:rsid w:val="4B263288"/>
    <w:rsid w:val="4B297B29"/>
    <w:rsid w:val="4B44252A"/>
    <w:rsid w:val="4B571EB9"/>
    <w:rsid w:val="4B6F189A"/>
    <w:rsid w:val="4B7B585B"/>
    <w:rsid w:val="4B8E01B3"/>
    <w:rsid w:val="4BAC21E2"/>
    <w:rsid w:val="4BB76E09"/>
    <w:rsid w:val="4BC26547"/>
    <w:rsid w:val="4BD022A2"/>
    <w:rsid w:val="4BE04694"/>
    <w:rsid w:val="4BF26B7B"/>
    <w:rsid w:val="4C177B16"/>
    <w:rsid w:val="4C1B5BBB"/>
    <w:rsid w:val="4C3B4D29"/>
    <w:rsid w:val="4C3B7EF9"/>
    <w:rsid w:val="4C5D0E49"/>
    <w:rsid w:val="4C7722CF"/>
    <w:rsid w:val="4C82389B"/>
    <w:rsid w:val="4C8B290D"/>
    <w:rsid w:val="4C9241EB"/>
    <w:rsid w:val="4C967697"/>
    <w:rsid w:val="4CBB28DA"/>
    <w:rsid w:val="4CC03DCB"/>
    <w:rsid w:val="4CC70DFB"/>
    <w:rsid w:val="4CFB05FD"/>
    <w:rsid w:val="4CFB1FB4"/>
    <w:rsid w:val="4D020D60"/>
    <w:rsid w:val="4D0A2021"/>
    <w:rsid w:val="4D38393D"/>
    <w:rsid w:val="4D622755"/>
    <w:rsid w:val="4D643175"/>
    <w:rsid w:val="4D6D6A56"/>
    <w:rsid w:val="4D871DEF"/>
    <w:rsid w:val="4DC869F2"/>
    <w:rsid w:val="4DCF1E8B"/>
    <w:rsid w:val="4DDB0D08"/>
    <w:rsid w:val="4DEB00DB"/>
    <w:rsid w:val="4DF7691A"/>
    <w:rsid w:val="4E0D1286"/>
    <w:rsid w:val="4E1116D7"/>
    <w:rsid w:val="4E235C31"/>
    <w:rsid w:val="4E300D30"/>
    <w:rsid w:val="4E3B593B"/>
    <w:rsid w:val="4E437B82"/>
    <w:rsid w:val="4E51007E"/>
    <w:rsid w:val="4E520BA0"/>
    <w:rsid w:val="4EAB2666"/>
    <w:rsid w:val="4EBD14EB"/>
    <w:rsid w:val="4EBF600A"/>
    <w:rsid w:val="4ECA3989"/>
    <w:rsid w:val="4ECA6DB2"/>
    <w:rsid w:val="4ED3397B"/>
    <w:rsid w:val="4EE56FEE"/>
    <w:rsid w:val="4EE85CA4"/>
    <w:rsid w:val="4EFC669E"/>
    <w:rsid w:val="4F152C9C"/>
    <w:rsid w:val="4F2A768E"/>
    <w:rsid w:val="4F3E4858"/>
    <w:rsid w:val="4F592802"/>
    <w:rsid w:val="4F5E65CB"/>
    <w:rsid w:val="4F6767E9"/>
    <w:rsid w:val="4F8654C3"/>
    <w:rsid w:val="4FAD2FEC"/>
    <w:rsid w:val="4FC33F75"/>
    <w:rsid w:val="4FE634A2"/>
    <w:rsid w:val="4FE76792"/>
    <w:rsid w:val="50026FE3"/>
    <w:rsid w:val="50125601"/>
    <w:rsid w:val="501720C2"/>
    <w:rsid w:val="501E38F0"/>
    <w:rsid w:val="50361824"/>
    <w:rsid w:val="50370CF0"/>
    <w:rsid w:val="503E1F51"/>
    <w:rsid w:val="504E186C"/>
    <w:rsid w:val="504F771C"/>
    <w:rsid w:val="505B5899"/>
    <w:rsid w:val="5066380A"/>
    <w:rsid w:val="506B6D28"/>
    <w:rsid w:val="50774E16"/>
    <w:rsid w:val="507D6BE4"/>
    <w:rsid w:val="507E766A"/>
    <w:rsid w:val="50A44DA5"/>
    <w:rsid w:val="50DD5AF5"/>
    <w:rsid w:val="50E957BB"/>
    <w:rsid w:val="50FA60AD"/>
    <w:rsid w:val="511B36A0"/>
    <w:rsid w:val="51270C24"/>
    <w:rsid w:val="512A5090"/>
    <w:rsid w:val="512A606F"/>
    <w:rsid w:val="514918AD"/>
    <w:rsid w:val="515E5C77"/>
    <w:rsid w:val="51795949"/>
    <w:rsid w:val="5185722B"/>
    <w:rsid w:val="519C2422"/>
    <w:rsid w:val="519D3D33"/>
    <w:rsid w:val="51A16CD6"/>
    <w:rsid w:val="51A17CBC"/>
    <w:rsid w:val="51B12F96"/>
    <w:rsid w:val="51B266E2"/>
    <w:rsid w:val="51BC15C5"/>
    <w:rsid w:val="51DD5D07"/>
    <w:rsid w:val="51E839C1"/>
    <w:rsid w:val="51E8696A"/>
    <w:rsid w:val="51F86F53"/>
    <w:rsid w:val="520D0B98"/>
    <w:rsid w:val="521D3F73"/>
    <w:rsid w:val="522A2A79"/>
    <w:rsid w:val="52376F64"/>
    <w:rsid w:val="527D7C1D"/>
    <w:rsid w:val="527F0856"/>
    <w:rsid w:val="528D456B"/>
    <w:rsid w:val="52935227"/>
    <w:rsid w:val="52A94C3D"/>
    <w:rsid w:val="52B90EB9"/>
    <w:rsid w:val="52DA11BC"/>
    <w:rsid w:val="52EE556F"/>
    <w:rsid w:val="530D6B02"/>
    <w:rsid w:val="533D315A"/>
    <w:rsid w:val="533E6590"/>
    <w:rsid w:val="53616C3A"/>
    <w:rsid w:val="53720871"/>
    <w:rsid w:val="53912C77"/>
    <w:rsid w:val="53935D14"/>
    <w:rsid w:val="53A06759"/>
    <w:rsid w:val="53A75958"/>
    <w:rsid w:val="53AF14E8"/>
    <w:rsid w:val="53BC2F2A"/>
    <w:rsid w:val="53CA5F5D"/>
    <w:rsid w:val="53CA6571"/>
    <w:rsid w:val="54012844"/>
    <w:rsid w:val="541C2E29"/>
    <w:rsid w:val="54223D3C"/>
    <w:rsid w:val="542D6460"/>
    <w:rsid w:val="54453B67"/>
    <w:rsid w:val="545505E1"/>
    <w:rsid w:val="545F12FE"/>
    <w:rsid w:val="546E6C96"/>
    <w:rsid w:val="547D56F6"/>
    <w:rsid w:val="54A54E53"/>
    <w:rsid w:val="54AC2BED"/>
    <w:rsid w:val="54AF04C8"/>
    <w:rsid w:val="54C76366"/>
    <w:rsid w:val="54DC2A95"/>
    <w:rsid w:val="54EB17AD"/>
    <w:rsid w:val="54F77D8F"/>
    <w:rsid w:val="550D594A"/>
    <w:rsid w:val="553A13FE"/>
    <w:rsid w:val="553E6C5C"/>
    <w:rsid w:val="554C2900"/>
    <w:rsid w:val="554F2B66"/>
    <w:rsid w:val="55525658"/>
    <w:rsid w:val="55657B84"/>
    <w:rsid w:val="556B729A"/>
    <w:rsid w:val="55797D60"/>
    <w:rsid w:val="55885806"/>
    <w:rsid w:val="559E2A46"/>
    <w:rsid w:val="55B339DE"/>
    <w:rsid w:val="55BA6B59"/>
    <w:rsid w:val="55BB4FB9"/>
    <w:rsid w:val="55C254C6"/>
    <w:rsid w:val="55E30278"/>
    <w:rsid w:val="55E80B68"/>
    <w:rsid w:val="55EF5F55"/>
    <w:rsid w:val="56015935"/>
    <w:rsid w:val="56050FE6"/>
    <w:rsid w:val="56082652"/>
    <w:rsid w:val="560A243F"/>
    <w:rsid w:val="565D7049"/>
    <w:rsid w:val="566579A6"/>
    <w:rsid w:val="566D462F"/>
    <w:rsid w:val="567A1A5E"/>
    <w:rsid w:val="56815727"/>
    <w:rsid w:val="56966018"/>
    <w:rsid w:val="56AD5AA4"/>
    <w:rsid w:val="56D910FC"/>
    <w:rsid w:val="570506D6"/>
    <w:rsid w:val="57111BA9"/>
    <w:rsid w:val="5735677D"/>
    <w:rsid w:val="576E396B"/>
    <w:rsid w:val="5774021B"/>
    <w:rsid w:val="578C2D14"/>
    <w:rsid w:val="578F5650"/>
    <w:rsid w:val="57AF24E6"/>
    <w:rsid w:val="57B80A97"/>
    <w:rsid w:val="57CF0C38"/>
    <w:rsid w:val="57D164CE"/>
    <w:rsid w:val="57E34DCA"/>
    <w:rsid w:val="57E81003"/>
    <w:rsid w:val="5805712F"/>
    <w:rsid w:val="582B33F7"/>
    <w:rsid w:val="58615F7E"/>
    <w:rsid w:val="586B5EA3"/>
    <w:rsid w:val="5890758F"/>
    <w:rsid w:val="58C31CCE"/>
    <w:rsid w:val="58D40F20"/>
    <w:rsid w:val="58E21D68"/>
    <w:rsid w:val="58EE7EC3"/>
    <w:rsid w:val="58F137A4"/>
    <w:rsid w:val="59084187"/>
    <w:rsid w:val="59321C27"/>
    <w:rsid w:val="5942421D"/>
    <w:rsid w:val="594A7BA3"/>
    <w:rsid w:val="59517AB8"/>
    <w:rsid w:val="59691154"/>
    <w:rsid w:val="598459BB"/>
    <w:rsid w:val="5985533D"/>
    <w:rsid w:val="599764CB"/>
    <w:rsid w:val="59A70AE0"/>
    <w:rsid w:val="59CA648E"/>
    <w:rsid w:val="59D306F4"/>
    <w:rsid w:val="59DA0226"/>
    <w:rsid w:val="59F304AE"/>
    <w:rsid w:val="59F6337D"/>
    <w:rsid w:val="5A017392"/>
    <w:rsid w:val="5A0465E5"/>
    <w:rsid w:val="5A132704"/>
    <w:rsid w:val="5A2B10EE"/>
    <w:rsid w:val="5A2D49F2"/>
    <w:rsid w:val="5A3B05F2"/>
    <w:rsid w:val="5A4603F3"/>
    <w:rsid w:val="5A5F7D41"/>
    <w:rsid w:val="5A6D071A"/>
    <w:rsid w:val="5A7E03C4"/>
    <w:rsid w:val="5A922681"/>
    <w:rsid w:val="5AC62FDE"/>
    <w:rsid w:val="5AD14AE0"/>
    <w:rsid w:val="5AD77521"/>
    <w:rsid w:val="5AE81AEF"/>
    <w:rsid w:val="5AEE6C27"/>
    <w:rsid w:val="5B0D0B98"/>
    <w:rsid w:val="5B4802A2"/>
    <w:rsid w:val="5B4B3D68"/>
    <w:rsid w:val="5B4B3F9D"/>
    <w:rsid w:val="5B51392A"/>
    <w:rsid w:val="5B650C0E"/>
    <w:rsid w:val="5B740314"/>
    <w:rsid w:val="5B7A540C"/>
    <w:rsid w:val="5B7C1DE4"/>
    <w:rsid w:val="5B7F5C99"/>
    <w:rsid w:val="5B8225AC"/>
    <w:rsid w:val="5BA26F0C"/>
    <w:rsid w:val="5BD714AC"/>
    <w:rsid w:val="5BFA135E"/>
    <w:rsid w:val="5C165DCF"/>
    <w:rsid w:val="5C2D153C"/>
    <w:rsid w:val="5C3061C7"/>
    <w:rsid w:val="5C40069A"/>
    <w:rsid w:val="5C9000DE"/>
    <w:rsid w:val="5C960C46"/>
    <w:rsid w:val="5C9F71C2"/>
    <w:rsid w:val="5CA418A8"/>
    <w:rsid w:val="5CC45299"/>
    <w:rsid w:val="5CD62CF0"/>
    <w:rsid w:val="5CEE112D"/>
    <w:rsid w:val="5CF45756"/>
    <w:rsid w:val="5CF45774"/>
    <w:rsid w:val="5CFA5613"/>
    <w:rsid w:val="5CFA5E79"/>
    <w:rsid w:val="5CFD4EDF"/>
    <w:rsid w:val="5D0E727A"/>
    <w:rsid w:val="5D0F05B6"/>
    <w:rsid w:val="5D1721B0"/>
    <w:rsid w:val="5D23096E"/>
    <w:rsid w:val="5D33243F"/>
    <w:rsid w:val="5D353F5A"/>
    <w:rsid w:val="5D3F264D"/>
    <w:rsid w:val="5D595720"/>
    <w:rsid w:val="5DC20159"/>
    <w:rsid w:val="5DC6168A"/>
    <w:rsid w:val="5DD904D5"/>
    <w:rsid w:val="5DF47185"/>
    <w:rsid w:val="5DF826AB"/>
    <w:rsid w:val="5E0537D7"/>
    <w:rsid w:val="5E21604C"/>
    <w:rsid w:val="5E452B46"/>
    <w:rsid w:val="5E4B39E2"/>
    <w:rsid w:val="5E5B08B1"/>
    <w:rsid w:val="5E682546"/>
    <w:rsid w:val="5E875502"/>
    <w:rsid w:val="5EA00DD2"/>
    <w:rsid w:val="5EBA6160"/>
    <w:rsid w:val="5ED167BB"/>
    <w:rsid w:val="5F0503C5"/>
    <w:rsid w:val="5F0A1FD5"/>
    <w:rsid w:val="5F2B007F"/>
    <w:rsid w:val="5F3A537F"/>
    <w:rsid w:val="5F55628D"/>
    <w:rsid w:val="5F73274C"/>
    <w:rsid w:val="5F795FEF"/>
    <w:rsid w:val="5F7A19CF"/>
    <w:rsid w:val="5F9E14D9"/>
    <w:rsid w:val="5FA12F23"/>
    <w:rsid w:val="5FA643C0"/>
    <w:rsid w:val="5FAA23BF"/>
    <w:rsid w:val="5FBA0E43"/>
    <w:rsid w:val="5FF26BD2"/>
    <w:rsid w:val="5FF70096"/>
    <w:rsid w:val="60074249"/>
    <w:rsid w:val="601078F3"/>
    <w:rsid w:val="60180028"/>
    <w:rsid w:val="60200540"/>
    <w:rsid w:val="6024114A"/>
    <w:rsid w:val="60373EC6"/>
    <w:rsid w:val="606E3C83"/>
    <w:rsid w:val="60777A29"/>
    <w:rsid w:val="6096342E"/>
    <w:rsid w:val="60BA541F"/>
    <w:rsid w:val="60C30B2A"/>
    <w:rsid w:val="61086BDD"/>
    <w:rsid w:val="610B15EA"/>
    <w:rsid w:val="61283ED9"/>
    <w:rsid w:val="615B2D6E"/>
    <w:rsid w:val="615B5118"/>
    <w:rsid w:val="61850D2D"/>
    <w:rsid w:val="61A03590"/>
    <w:rsid w:val="61D415D7"/>
    <w:rsid w:val="62085A90"/>
    <w:rsid w:val="620974B2"/>
    <w:rsid w:val="62122EDA"/>
    <w:rsid w:val="62224B7C"/>
    <w:rsid w:val="624C71B3"/>
    <w:rsid w:val="62564A07"/>
    <w:rsid w:val="626704E9"/>
    <w:rsid w:val="626B3AE6"/>
    <w:rsid w:val="628E2000"/>
    <w:rsid w:val="62E94FFE"/>
    <w:rsid w:val="632C0FE3"/>
    <w:rsid w:val="63324FE4"/>
    <w:rsid w:val="633A73E3"/>
    <w:rsid w:val="63724AC4"/>
    <w:rsid w:val="63AA20E5"/>
    <w:rsid w:val="63AE338F"/>
    <w:rsid w:val="63EC6E4E"/>
    <w:rsid w:val="64031AB8"/>
    <w:rsid w:val="640A41D2"/>
    <w:rsid w:val="642B0762"/>
    <w:rsid w:val="643B3838"/>
    <w:rsid w:val="64636706"/>
    <w:rsid w:val="646665AC"/>
    <w:rsid w:val="646D6F8F"/>
    <w:rsid w:val="64903D6D"/>
    <w:rsid w:val="64B42C7F"/>
    <w:rsid w:val="64B550E0"/>
    <w:rsid w:val="64CE6B92"/>
    <w:rsid w:val="650752E0"/>
    <w:rsid w:val="652C0818"/>
    <w:rsid w:val="657253F8"/>
    <w:rsid w:val="6573499F"/>
    <w:rsid w:val="65A74B6D"/>
    <w:rsid w:val="65D612E1"/>
    <w:rsid w:val="65D61589"/>
    <w:rsid w:val="65E6011B"/>
    <w:rsid w:val="660147DD"/>
    <w:rsid w:val="66086131"/>
    <w:rsid w:val="661B23D8"/>
    <w:rsid w:val="663C21B3"/>
    <w:rsid w:val="66616785"/>
    <w:rsid w:val="668C747A"/>
    <w:rsid w:val="66B45EA6"/>
    <w:rsid w:val="66C61214"/>
    <w:rsid w:val="66EA0A41"/>
    <w:rsid w:val="66F90C24"/>
    <w:rsid w:val="6726332A"/>
    <w:rsid w:val="6733599D"/>
    <w:rsid w:val="675F52A9"/>
    <w:rsid w:val="67625313"/>
    <w:rsid w:val="67663BD0"/>
    <w:rsid w:val="67776A39"/>
    <w:rsid w:val="677E4D22"/>
    <w:rsid w:val="678A677E"/>
    <w:rsid w:val="679C50C1"/>
    <w:rsid w:val="679E1A17"/>
    <w:rsid w:val="67D36994"/>
    <w:rsid w:val="67D40D8F"/>
    <w:rsid w:val="67DA55EA"/>
    <w:rsid w:val="67DB5A63"/>
    <w:rsid w:val="67E7729B"/>
    <w:rsid w:val="680549E2"/>
    <w:rsid w:val="681768DA"/>
    <w:rsid w:val="68240856"/>
    <w:rsid w:val="68293658"/>
    <w:rsid w:val="683533DC"/>
    <w:rsid w:val="6866067C"/>
    <w:rsid w:val="687A538D"/>
    <w:rsid w:val="68CE3794"/>
    <w:rsid w:val="68D55F5E"/>
    <w:rsid w:val="68D61AFF"/>
    <w:rsid w:val="68F06352"/>
    <w:rsid w:val="68F729C2"/>
    <w:rsid w:val="690B40CC"/>
    <w:rsid w:val="69153A32"/>
    <w:rsid w:val="6943211E"/>
    <w:rsid w:val="6945649F"/>
    <w:rsid w:val="69495B20"/>
    <w:rsid w:val="695C0E78"/>
    <w:rsid w:val="695F627E"/>
    <w:rsid w:val="696654C5"/>
    <w:rsid w:val="69954D4D"/>
    <w:rsid w:val="69A3496F"/>
    <w:rsid w:val="69AC4CCB"/>
    <w:rsid w:val="69AC6291"/>
    <w:rsid w:val="69D209F5"/>
    <w:rsid w:val="69DC40F1"/>
    <w:rsid w:val="6A3D5974"/>
    <w:rsid w:val="6A7F6F40"/>
    <w:rsid w:val="6AA76C94"/>
    <w:rsid w:val="6AC0267B"/>
    <w:rsid w:val="6AC77852"/>
    <w:rsid w:val="6ADA4341"/>
    <w:rsid w:val="6AE9240E"/>
    <w:rsid w:val="6AF02DE7"/>
    <w:rsid w:val="6B07190F"/>
    <w:rsid w:val="6B110971"/>
    <w:rsid w:val="6B204EA2"/>
    <w:rsid w:val="6B4B5A41"/>
    <w:rsid w:val="6B5E2488"/>
    <w:rsid w:val="6B88764E"/>
    <w:rsid w:val="6BB54477"/>
    <w:rsid w:val="6BBC2672"/>
    <w:rsid w:val="6BD71C6F"/>
    <w:rsid w:val="6BDC6BAD"/>
    <w:rsid w:val="6BEF3079"/>
    <w:rsid w:val="6BF55670"/>
    <w:rsid w:val="6C096582"/>
    <w:rsid w:val="6C241F18"/>
    <w:rsid w:val="6C46521E"/>
    <w:rsid w:val="6C564665"/>
    <w:rsid w:val="6C673BF0"/>
    <w:rsid w:val="6CB93BE7"/>
    <w:rsid w:val="6CBB2CAC"/>
    <w:rsid w:val="6CD14F1F"/>
    <w:rsid w:val="6CD53936"/>
    <w:rsid w:val="6CD64CFC"/>
    <w:rsid w:val="6CE5122E"/>
    <w:rsid w:val="6CE551D2"/>
    <w:rsid w:val="6CEF3A1B"/>
    <w:rsid w:val="6D072A2B"/>
    <w:rsid w:val="6D1D4E94"/>
    <w:rsid w:val="6D1F12CA"/>
    <w:rsid w:val="6D3911CB"/>
    <w:rsid w:val="6D3C1C9B"/>
    <w:rsid w:val="6D983261"/>
    <w:rsid w:val="6DBD496C"/>
    <w:rsid w:val="6DE9065D"/>
    <w:rsid w:val="6DF5635A"/>
    <w:rsid w:val="6E091C19"/>
    <w:rsid w:val="6E5D6DDC"/>
    <w:rsid w:val="6E605F83"/>
    <w:rsid w:val="6E6E4F34"/>
    <w:rsid w:val="6E760327"/>
    <w:rsid w:val="6E8138EC"/>
    <w:rsid w:val="6E8F2875"/>
    <w:rsid w:val="6EBC33C5"/>
    <w:rsid w:val="6EC57EE2"/>
    <w:rsid w:val="6EC90F5B"/>
    <w:rsid w:val="6EF31752"/>
    <w:rsid w:val="6EFC50DF"/>
    <w:rsid w:val="6F244A6F"/>
    <w:rsid w:val="6F68483C"/>
    <w:rsid w:val="6F8D054B"/>
    <w:rsid w:val="6F966D76"/>
    <w:rsid w:val="6F9A2F93"/>
    <w:rsid w:val="6FA77677"/>
    <w:rsid w:val="6FB37BF2"/>
    <w:rsid w:val="6FC025B1"/>
    <w:rsid w:val="6FCE2078"/>
    <w:rsid w:val="6FF06DB9"/>
    <w:rsid w:val="70040D6C"/>
    <w:rsid w:val="70251F9A"/>
    <w:rsid w:val="70336BE6"/>
    <w:rsid w:val="70337F76"/>
    <w:rsid w:val="70506043"/>
    <w:rsid w:val="70601676"/>
    <w:rsid w:val="70814ED5"/>
    <w:rsid w:val="70A240AA"/>
    <w:rsid w:val="70A523E7"/>
    <w:rsid w:val="70DE340E"/>
    <w:rsid w:val="70E76C9B"/>
    <w:rsid w:val="70F518EF"/>
    <w:rsid w:val="71522251"/>
    <w:rsid w:val="71557EB0"/>
    <w:rsid w:val="716B23B2"/>
    <w:rsid w:val="71760A1E"/>
    <w:rsid w:val="717F5191"/>
    <w:rsid w:val="71907D48"/>
    <w:rsid w:val="719162FA"/>
    <w:rsid w:val="719A3F49"/>
    <w:rsid w:val="71BB77BB"/>
    <w:rsid w:val="71C60F55"/>
    <w:rsid w:val="71DE29DA"/>
    <w:rsid w:val="71E91A77"/>
    <w:rsid w:val="721F1C1E"/>
    <w:rsid w:val="72353C12"/>
    <w:rsid w:val="72374FB0"/>
    <w:rsid w:val="723C440E"/>
    <w:rsid w:val="7245015D"/>
    <w:rsid w:val="724538F5"/>
    <w:rsid w:val="72476473"/>
    <w:rsid w:val="724F50AE"/>
    <w:rsid w:val="7278351A"/>
    <w:rsid w:val="728538A3"/>
    <w:rsid w:val="72A23C03"/>
    <w:rsid w:val="72BC2E4E"/>
    <w:rsid w:val="72BD21D2"/>
    <w:rsid w:val="72CA3034"/>
    <w:rsid w:val="72CC58F9"/>
    <w:rsid w:val="72DD5B21"/>
    <w:rsid w:val="72E61CF2"/>
    <w:rsid w:val="72E75172"/>
    <w:rsid w:val="73170370"/>
    <w:rsid w:val="733F4CAA"/>
    <w:rsid w:val="735E1ED9"/>
    <w:rsid w:val="73724726"/>
    <w:rsid w:val="737D334E"/>
    <w:rsid w:val="737E3C58"/>
    <w:rsid w:val="739B0CBE"/>
    <w:rsid w:val="73AB460F"/>
    <w:rsid w:val="73B11BD4"/>
    <w:rsid w:val="73BA72C6"/>
    <w:rsid w:val="73EB649E"/>
    <w:rsid w:val="73EF67DC"/>
    <w:rsid w:val="744652FA"/>
    <w:rsid w:val="746A5740"/>
    <w:rsid w:val="746C4351"/>
    <w:rsid w:val="747D1058"/>
    <w:rsid w:val="74961A7E"/>
    <w:rsid w:val="74A21841"/>
    <w:rsid w:val="74C060EB"/>
    <w:rsid w:val="74F56118"/>
    <w:rsid w:val="752366CB"/>
    <w:rsid w:val="753312A0"/>
    <w:rsid w:val="753D6944"/>
    <w:rsid w:val="75521C72"/>
    <w:rsid w:val="755B32AB"/>
    <w:rsid w:val="75906AD2"/>
    <w:rsid w:val="75936C09"/>
    <w:rsid w:val="75A11FD5"/>
    <w:rsid w:val="75AD75BE"/>
    <w:rsid w:val="75C93C1C"/>
    <w:rsid w:val="75DD0638"/>
    <w:rsid w:val="75FB21C3"/>
    <w:rsid w:val="75FE0355"/>
    <w:rsid w:val="76080E91"/>
    <w:rsid w:val="761310F9"/>
    <w:rsid w:val="761B4AF3"/>
    <w:rsid w:val="76337E03"/>
    <w:rsid w:val="766C4E31"/>
    <w:rsid w:val="766D2372"/>
    <w:rsid w:val="76782B81"/>
    <w:rsid w:val="767E4B1B"/>
    <w:rsid w:val="76C05566"/>
    <w:rsid w:val="76D26C9C"/>
    <w:rsid w:val="76DD767B"/>
    <w:rsid w:val="772D2A87"/>
    <w:rsid w:val="77393016"/>
    <w:rsid w:val="774670B5"/>
    <w:rsid w:val="774B7A72"/>
    <w:rsid w:val="774E2391"/>
    <w:rsid w:val="77623102"/>
    <w:rsid w:val="77986694"/>
    <w:rsid w:val="779B0BBE"/>
    <w:rsid w:val="77AC1EB1"/>
    <w:rsid w:val="77C545F8"/>
    <w:rsid w:val="77C85CDB"/>
    <w:rsid w:val="77CF0B4F"/>
    <w:rsid w:val="77D625F9"/>
    <w:rsid w:val="77ED6644"/>
    <w:rsid w:val="77EE0C22"/>
    <w:rsid w:val="77F0607B"/>
    <w:rsid w:val="77F07D4F"/>
    <w:rsid w:val="77F54A6A"/>
    <w:rsid w:val="77FA4C34"/>
    <w:rsid w:val="77FE0F08"/>
    <w:rsid w:val="780F7776"/>
    <w:rsid w:val="7815432E"/>
    <w:rsid w:val="78170117"/>
    <w:rsid w:val="78210ED6"/>
    <w:rsid w:val="78256841"/>
    <w:rsid w:val="78335084"/>
    <w:rsid w:val="78384422"/>
    <w:rsid w:val="783F5BCE"/>
    <w:rsid w:val="784735DF"/>
    <w:rsid w:val="784C5766"/>
    <w:rsid w:val="785723D2"/>
    <w:rsid w:val="78747089"/>
    <w:rsid w:val="787C6BF9"/>
    <w:rsid w:val="788028B7"/>
    <w:rsid w:val="78953502"/>
    <w:rsid w:val="78970B73"/>
    <w:rsid w:val="78A21173"/>
    <w:rsid w:val="78B349BF"/>
    <w:rsid w:val="78B63CDB"/>
    <w:rsid w:val="78CE0572"/>
    <w:rsid w:val="78E1397E"/>
    <w:rsid w:val="78E13A0B"/>
    <w:rsid w:val="790C5821"/>
    <w:rsid w:val="79193BCB"/>
    <w:rsid w:val="79395892"/>
    <w:rsid w:val="79480E8E"/>
    <w:rsid w:val="795D6042"/>
    <w:rsid w:val="79B477FE"/>
    <w:rsid w:val="7A25083C"/>
    <w:rsid w:val="7A53140E"/>
    <w:rsid w:val="7A737979"/>
    <w:rsid w:val="7A7524B0"/>
    <w:rsid w:val="7A9F0D88"/>
    <w:rsid w:val="7AA53606"/>
    <w:rsid w:val="7AD65AA1"/>
    <w:rsid w:val="7B03101C"/>
    <w:rsid w:val="7B582DB8"/>
    <w:rsid w:val="7B5D6D6A"/>
    <w:rsid w:val="7B704EC7"/>
    <w:rsid w:val="7B77655D"/>
    <w:rsid w:val="7B803108"/>
    <w:rsid w:val="7BC70F6D"/>
    <w:rsid w:val="7BDA78FE"/>
    <w:rsid w:val="7BE17BD0"/>
    <w:rsid w:val="7BFF7159"/>
    <w:rsid w:val="7C1F0E92"/>
    <w:rsid w:val="7C345C07"/>
    <w:rsid w:val="7C370E05"/>
    <w:rsid w:val="7C5C584B"/>
    <w:rsid w:val="7C9022D1"/>
    <w:rsid w:val="7C954B5A"/>
    <w:rsid w:val="7C960E81"/>
    <w:rsid w:val="7CAF2CA0"/>
    <w:rsid w:val="7CBA046F"/>
    <w:rsid w:val="7CBA1AC7"/>
    <w:rsid w:val="7CC0327B"/>
    <w:rsid w:val="7CC92340"/>
    <w:rsid w:val="7CE572DE"/>
    <w:rsid w:val="7CFB1773"/>
    <w:rsid w:val="7CFD18A7"/>
    <w:rsid w:val="7D152D83"/>
    <w:rsid w:val="7D1B0C72"/>
    <w:rsid w:val="7D2E072E"/>
    <w:rsid w:val="7D3B07F1"/>
    <w:rsid w:val="7D8B68D3"/>
    <w:rsid w:val="7DB53C19"/>
    <w:rsid w:val="7DF477D8"/>
    <w:rsid w:val="7DF6445C"/>
    <w:rsid w:val="7DFD1837"/>
    <w:rsid w:val="7DFF08B2"/>
    <w:rsid w:val="7E3C4388"/>
    <w:rsid w:val="7E3D10B6"/>
    <w:rsid w:val="7E4928E1"/>
    <w:rsid w:val="7E5A60E3"/>
    <w:rsid w:val="7E5A6588"/>
    <w:rsid w:val="7E5F75FC"/>
    <w:rsid w:val="7E77557D"/>
    <w:rsid w:val="7EBF6B9F"/>
    <w:rsid w:val="7ED51BB2"/>
    <w:rsid w:val="7EFB4411"/>
    <w:rsid w:val="7F066EE0"/>
    <w:rsid w:val="7F11076E"/>
    <w:rsid w:val="7F1B0585"/>
    <w:rsid w:val="7F20726D"/>
    <w:rsid w:val="7F4A0B0D"/>
    <w:rsid w:val="7F7E7E7D"/>
    <w:rsid w:val="7FD03866"/>
    <w:rsid w:val="7FD751F2"/>
    <w:rsid w:val="7FD81DBA"/>
    <w:rsid w:val="7FDE74B7"/>
    <w:rsid w:val="7FE860A3"/>
    <w:rsid w:val="7FEA3DB9"/>
    <w:rsid w:val="7FED0451"/>
    <w:rsid w:val="7FED07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tabs>
        <w:tab w:val="left" w:pos="200"/>
      </w:tabs>
      <w:jc w:val="center"/>
      <w:outlineLvl w:val="0"/>
    </w:pPr>
    <w:rPr>
      <w:rFonts w:ascii="宋体" w:hAnsi="宋体" w:cs="Times New Roman"/>
      <w:b/>
      <w:sz w:val="36"/>
      <w:szCs w:val="20"/>
    </w:rPr>
  </w:style>
  <w:style w:type="paragraph" w:styleId="4">
    <w:name w:val="heading 2"/>
    <w:basedOn w:val="1"/>
    <w:next w:val="1"/>
    <w:qFormat/>
    <w:uiPriority w:val="9"/>
    <w:pPr>
      <w:keepNext/>
      <w:jc w:val="center"/>
      <w:outlineLvl w:val="1"/>
    </w:pPr>
    <w:rPr>
      <w:rFonts w:ascii="Times New Roman" w:hAnsi="Times New Roman" w:eastAsia="楷体_GB2312" w:cs="Times New Roman"/>
      <w:b/>
      <w:bCs/>
      <w:sz w:val="28"/>
      <w:szCs w:val="28"/>
    </w:rPr>
  </w:style>
  <w:style w:type="paragraph" w:styleId="5">
    <w:name w:val="heading 3"/>
    <w:basedOn w:val="1"/>
    <w:next w:val="1"/>
    <w:qFormat/>
    <w:uiPriority w:val="9"/>
    <w:pPr>
      <w:keepNext/>
      <w:keepLines/>
      <w:spacing w:before="260" w:after="260" w:line="416" w:lineRule="auto"/>
      <w:outlineLvl w:val="2"/>
    </w:pPr>
    <w:rPr>
      <w:rFonts w:ascii="Times New Roman" w:hAnsi="Times New Roman" w:cs="Times New Roman"/>
      <w:b/>
      <w:bCs/>
      <w:sz w:val="32"/>
      <w:szCs w:val="32"/>
      <w:lang w:val="zh-CN"/>
    </w:rPr>
  </w:style>
  <w:style w:type="paragraph" w:styleId="6">
    <w:name w:val="heading 4"/>
    <w:basedOn w:val="1"/>
    <w:next w:val="1"/>
    <w:qFormat/>
    <w:uiPriority w:val="9"/>
    <w:pPr>
      <w:keepNext/>
      <w:keepLines/>
      <w:spacing w:before="280" w:after="290" w:line="376" w:lineRule="auto"/>
      <w:outlineLvl w:val="3"/>
    </w:pPr>
    <w:rPr>
      <w:rFonts w:ascii="Cambria" w:hAnsi="Cambria" w:cs="Times New Roman"/>
      <w:b/>
      <w:bCs/>
      <w:sz w:val="28"/>
      <w:szCs w:val="28"/>
      <w:lang w:val="zh-CN"/>
    </w:rPr>
  </w:style>
  <w:style w:type="character" w:default="1" w:styleId="25">
    <w:name w:val="Default Paragraph Font"/>
    <w:semiHidden/>
    <w:uiPriority w:val="0"/>
  </w:style>
  <w:style w:type="table" w:default="1" w:styleId="23">
    <w:name w:val="Normal Table"/>
    <w:semiHidden/>
    <w:uiPriority w:val="0"/>
    <w:tblPr>
      <w:tblCellMar>
        <w:top w:w="0" w:type="dxa"/>
        <w:left w:w="108" w:type="dxa"/>
        <w:bottom w:w="0" w:type="dxa"/>
        <w:right w:w="108" w:type="dxa"/>
      </w:tblCellMar>
    </w:tblPr>
  </w:style>
  <w:style w:type="paragraph" w:styleId="2">
    <w:name w:val="Body Text First Indent 2"/>
    <w:basedOn w:val="1"/>
    <w:next w:val="1"/>
    <w:unhideWhenUsed/>
    <w:qFormat/>
    <w:uiPriority w:val="99"/>
    <w:pPr>
      <w:ind w:firstLine="420" w:firstLineChars="200"/>
    </w:pPr>
  </w:style>
  <w:style w:type="paragraph" w:styleId="7">
    <w:name w:val="table of authorities"/>
    <w:basedOn w:val="1"/>
    <w:next w:val="1"/>
    <w:qFormat/>
    <w:uiPriority w:val="99"/>
    <w:pPr>
      <w:ind w:left="420" w:leftChars="200"/>
    </w:pPr>
    <w:rPr>
      <w:szCs w:val="20"/>
    </w:rPr>
  </w:style>
  <w:style w:type="paragraph" w:styleId="8">
    <w:name w:val="Normal Indent"/>
    <w:basedOn w:val="1"/>
    <w:qFormat/>
    <w:uiPriority w:val="0"/>
    <w:pPr>
      <w:ind w:firstLine="420" w:firstLineChars="200"/>
    </w:pPr>
    <w:rPr>
      <w:rFonts w:ascii="Calibri" w:hAnsi="Calibri" w:cs="Times New Roman"/>
      <w:kern w:val="0"/>
      <w:sz w:val="24"/>
      <w:szCs w:val="20"/>
    </w:rPr>
  </w:style>
  <w:style w:type="paragraph" w:styleId="9">
    <w:name w:val="index 5"/>
    <w:basedOn w:val="1"/>
    <w:next w:val="1"/>
    <w:qFormat/>
    <w:uiPriority w:val="0"/>
    <w:pPr>
      <w:ind w:left="1680"/>
    </w:pPr>
    <w:rPr>
      <w:sz w:val="24"/>
    </w:rPr>
  </w:style>
  <w:style w:type="paragraph" w:styleId="10">
    <w:name w:val="annotation text"/>
    <w:basedOn w:val="1"/>
    <w:qFormat/>
    <w:uiPriority w:val="99"/>
    <w:pPr>
      <w:widowControl/>
      <w:tabs>
        <w:tab w:val="left" w:pos="1134"/>
      </w:tabs>
      <w:adjustRightInd w:val="0"/>
      <w:snapToGrid w:val="0"/>
      <w:spacing w:line="280" w:lineRule="atLeast"/>
      <w:jc w:val="left"/>
    </w:pPr>
    <w:rPr>
      <w:rFonts w:eastAsia="PMingLiU"/>
      <w:kern w:val="0"/>
      <w:sz w:val="24"/>
      <w:szCs w:val="20"/>
      <w:lang w:eastAsia="zh-TW"/>
    </w:rPr>
  </w:style>
  <w:style w:type="paragraph" w:styleId="11">
    <w:name w:val="Body Text"/>
    <w:basedOn w:val="1"/>
    <w:next w:val="1"/>
    <w:qFormat/>
    <w:uiPriority w:val="0"/>
    <w:rPr>
      <w:rFonts w:ascii="楷体_GB2312" w:hAnsi="Arial" w:eastAsia="楷体_GB2312" w:cs="Times New Roman"/>
      <w:sz w:val="28"/>
      <w:szCs w:val="20"/>
    </w:rPr>
  </w:style>
  <w:style w:type="paragraph" w:styleId="12">
    <w:name w:val="Block Text"/>
    <w:basedOn w:val="1"/>
    <w:qFormat/>
    <w:uiPriority w:val="0"/>
    <w:pPr>
      <w:spacing w:after="120"/>
      <w:ind w:left="1440" w:leftChars="700" w:right="1440" w:rightChars="700"/>
    </w:pPr>
  </w:style>
  <w:style w:type="paragraph" w:styleId="13">
    <w:name w:val="Plain Text"/>
    <w:basedOn w:val="1"/>
    <w:qFormat/>
    <w:uiPriority w:val="0"/>
    <w:rPr>
      <w:rFonts w:ascii="宋体" w:hAnsi="Courier New" w:cs="Times New Roman"/>
      <w:kern w:val="0"/>
      <w:sz w:val="20"/>
      <w:szCs w:val="20"/>
    </w:rPr>
  </w:style>
  <w:style w:type="paragraph" w:styleId="14">
    <w:name w:val="Date"/>
    <w:basedOn w:val="1"/>
    <w:next w:val="1"/>
    <w:qFormat/>
    <w:uiPriority w:val="0"/>
    <w:rPr>
      <w:rFonts w:ascii="Times New Roman" w:hAnsi="Times New Roman"/>
      <w:szCs w:val="20"/>
    </w:rPr>
  </w:style>
  <w:style w:type="paragraph" w:styleId="15">
    <w:name w:val="Body Text Indent 2"/>
    <w:basedOn w:val="1"/>
    <w:qFormat/>
    <w:uiPriority w:val="0"/>
    <w:pPr>
      <w:spacing w:line="360" w:lineRule="exact"/>
      <w:ind w:firstLine="480" w:firstLineChars="200"/>
    </w:pPr>
    <w:rPr>
      <w:rFonts w:ascii="宋体" w:hAnsi="宋体" w:cs="宋体"/>
      <w:sz w:val="24"/>
    </w:rPr>
  </w:style>
  <w:style w:type="paragraph" w:styleId="16">
    <w:name w:val="footer"/>
    <w:basedOn w:val="1"/>
    <w:qFormat/>
    <w:uiPriority w:val="0"/>
    <w:pPr>
      <w:tabs>
        <w:tab w:val="center" w:pos="4153"/>
        <w:tab w:val="right" w:pos="8306"/>
      </w:tabs>
      <w:snapToGrid w:val="0"/>
      <w:jc w:val="left"/>
    </w:pPr>
    <w:rPr>
      <w:rFonts w:ascii="Times New Roman" w:hAnsi="Times New Roman" w:cs="Times New Roman"/>
      <w:sz w:val="18"/>
      <w:szCs w:val="20"/>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cs="Times New Roman"/>
      <w:sz w:val="18"/>
      <w:szCs w:val="20"/>
    </w:rPr>
  </w:style>
  <w:style w:type="paragraph" w:styleId="18">
    <w:name w:val="toc 1"/>
    <w:basedOn w:val="1"/>
    <w:next w:val="1"/>
    <w:qFormat/>
    <w:uiPriority w:val="0"/>
    <w:pPr>
      <w:spacing w:line="300" w:lineRule="exact"/>
    </w:pPr>
    <w:rPr>
      <w:rFonts w:ascii="宋体" w:hAnsi="宋体"/>
      <w:szCs w:val="21"/>
    </w:rPr>
  </w:style>
  <w:style w:type="paragraph" w:styleId="19">
    <w:name w:val="footnote text"/>
    <w:basedOn w:val="1"/>
    <w:next w:val="9"/>
    <w:qFormat/>
    <w:uiPriority w:val="0"/>
    <w:pPr>
      <w:snapToGrid w:val="0"/>
      <w:jc w:val="left"/>
    </w:pPr>
    <w:rPr>
      <w:sz w:val="18"/>
    </w:rPr>
  </w:style>
  <w:style w:type="paragraph" w:styleId="20">
    <w:name w:val="toc 2"/>
    <w:basedOn w:val="1"/>
    <w:next w:val="1"/>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rPr>
  </w:style>
  <w:style w:type="paragraph" w:styleId="22">
    <w:name w:val="Title"/>
    <w:basedOn w:val="1"/>
    <w:next w:val="1"/>
    <w:qFormat/>
    <w:uiPriority w:val="99"/>
    <w:pPr>
      <w:spacing w:before="240" w:after="60"/>
      <w:jc w:val="center"/>
      <w:outlineLvl w:val="0"/>
    </w:pPr>
    <w:rPr>
      <w:rFonts w:ascii="Cambria" w:hAnsi="Cambria" w:eastAsia="宋体"/>
      <w:b/>
      <w:bCs/>
      <w:sz w:val="32"/>
      <w:szCs w:val="32"/>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bCs/>
    </w:rPr>
  </w:style>
  <w:style w:type="character" w:styleId="27">
    <w:name w:val="page number"/>
    <w:qFormat/>
    <w:uiPriority w:val="0"/>
    <w:rPr>
      <w:rFonts w:ascii="Times New Roman" w:hAnsi="Times New Roman" w:eastAsia="宋体" w:cs="Times New Roman"/>
    </w:rPr>
  </w:style>
  <w:style w:type="character" w:styleId="28">
    <w:name w:val="FollowedHyperlink"/>
    <w:uiPriority w:val="0"/>
    <w:rPr>
      <w:color w:val="333333"/>
      <w:u w:val="none"/>
    </w:rPr>
  </w:style>
  <w:style w:type="character" w:styleId="29">
    <w:name w:val="Hyperlink"/>
    <w:basedOn w:val="25"/>
    <w:unhideWhenUsed/>
    <w:qFormat/>
    <w:uiPriority w:val="99"/>
    <w:rPr>
      <w:color w:val="333333"/>
      <w:u w:val="none"/>
    </w:rPr>
  </w:style>
  <w:style w:type="paragraph" w:customStyle="1" w:styleId="30">
    <w:name w:val="首行缩进"/>
    <w:basedOn w:val="1"/>
    <w:qFormat/>
    <w:uiPriority w:val="0"/>
    <w:pPr>
      <w:ind w:firstLine="480" w:firstLineChars="200"/>
    </w:pPr>
    <w:rPr>
      <w:lang w:val="zh-CN"/>
    </w:rPr>
  </w:style>
  <w:style w:type="paragraph" w:customStyle="1" w:styleId="31">
    <w:name w:val="Í¼±íÕýÎÄ"/>
    <w:basedOn w:val="1"/>
    <w:next w:val="8"/>
    <w:qFormat/>
    <w:uiPriority w:val="0"/>
    <w:pPr>
      <w:ind w:firstLine="420" w:firstLineChars="200"/>
    </w:pPr>
    <w:rPr>
      <w:rFonts w:ascii="Times New Roman" w:hAnsi="Times New Roman" w:cs="Times New Roman"/>
      <w:sz w:val="24"/>
      <w:szCs w:val="20"/>
    </w:rPr>
  </w:style>
  <w:style w:type="paragraph" w:customStyle="1" w:styleId="32">
    <w:name w:val=" Char1"/>
    <w:basedOn w:val="1"/>
    <w:qFormat/>
    <w:uiPriority w:val="0"/>
    <w:pPr>
      <w:tabs>
        <w:tab w:val="left" w:pos="432"/>
      </w:tabs>
      <w:ind w:left="432" w:hanging="432"/>
    </w:pPr>
    <w:rPr>
      <w:rFonts w:ascii="仿宋_GB2312" w:hAnsi="Tahoma" w:eastAsia="仿宋_GB2312"/>
      <w:color w:val="000000"/>
      <w:sz w:val="30"/>
      <w:szCs w:val="30"/>
    </w:rPr>
  </w:style>
  <w:style w:type="paragraph" w:customStyle="1" w:styleId="33">
    <w:name w:val="样式 标题 4 + 段前: 5 磅 段后: 5 磅 行距: 单倍行距"/>
    <w:basedOn w:val="6"/>
    <w:qFormat/>
    <w:uiPriority w:val="0"/>
    <w:pPr>
      <w:spacing w:before="100" w:after="100" w:line="240" w:lineRule="auto"/>
    </w:pPr>
    <w:rPr>
      <w:rFonts w:cs="宋体"/>
      <w:szCs w:val="20"/>
    </w:rPr>
  </w:style>
  <w:style w:type="paragraph" w:customStyle="1" w:styleId="34">
    <w:name w:val="正文字缩2字"/>
    <w:basedOn w:val="1"/>
    <w:qFormat/>
    <w:uiPriority w:val="0"/>
    <w:pPr>
      <w:adjustRightInd/>
      <w:spacing w:before="60" w:after="60" w:line="360" w:lineRule="auto"/>
      <w:ind w:left="200" w:leftChars="200" w:firstLine="200" w:firstLineChars="200"/>
      <w:jc w:val="both"/>
      <w:textAlignment w:val="auto"/>
    </w:pPr>
    <w:rPr>
      <w:kern w:val="2"/>
      <w:szCs w:val="24"/>
    </w:rPr>
  </w:style>
  <w:style w:type="paragraph" w:customStyle="1" w:styleId="35">
    <w:name w:val="TOC Heading1"/>
    <w:basedOn w:val="3"/>
    <w:next w:val="1"/>
    <w:semiHidden/>
    <w:qFormat/>
    <w:uiPriority w:val="99"/>
    <w:pPr>
      <w:keepLines/>
      <w:widowControl/>
      <w:tabs>
        <w:tab w:val="clear" w:pos="200"/>
      </w:tabs>
      <w:spacing w:before="480" w:line="276" w:lineRule="auto"/>
      <w:jc w:val="left"/>
      <w:outlineLvl w:val="9"/>
    </w:pPr>
    <w:rPr>
      <w:rFonts w:ascii="Calibri Light" w:hAnsi="Calibri Light"/>
      <w:bCs/>
      <w:color w:val="2E74B5"/>
      <w:kern w:val="0"/>
      <w:sz w:val="28"/>
      <w:szCs w:val="28"/>
    </w:rPr>
  </w:style>
  <w:style w:type="paragraph" w:customStyle="1" w:styleId="36">
    <w:name w:val="样式 标题 1 + 宋体 居中 段前: 17 磅 段后: 16.5 磅"/>
    <w:basedOn w:val="3"/>
    <w:qFormat/>
    <w:uiPriority w:val="0"/>
    <w:pPr>
      <w:pageBreakBefore/>
      <w:widowControl/>
      <w:numPr>
        <w:ilvl w:val="0"/>
        <w:numId w:val="0"/>
      </w:numPr>
      <w:tabs>
        <w:tab w:val="left" w:pos="840"/>
        <w:tab w:val="clear" w:pos="200"/>
      </w:tabs>
      <w:snapToGrid w:val="0"/>
      <w:ind w:left="840" w:hanging="420"/>
    </w:pPr>
    <w:rPr>
      <w:rFonts w:ascii="华文中宋" w:hAnsi="华文中宋" w:eastAsia="华文中宋" w:cs="宋体"/>
      <w:sz w:val="28"/>
      <w:szCs w:val="20"/>
    </w:rPr>
  </w:style>
  <w:style w:type="paragraph" w:customStyle="1" w:styleId="37">
    <w:name w:val="样式1"/>
    <w:basedOn w:val="1"/>
    <w:uiPriority w:val="0"/>
    <w:pPr>
      <w:numPr>
        <w:ilvl w:val="0"/>
        <w:numId w:val="1"/>
      </w:numPr>
      <w:spacing w:line="240" w:lineRule="auto"/>
      <w:jc w:val="both"/>
    </w:pPr>
    <w:rPr>
      <w:rFonts w:ascii="宋体" w:hAnsi="宋体"/>
      <w:sz w:val="21"/>
      <w:szCs w:val="21"/>
    </w:rPr>
  </w:style>
  <w:style w:type="paragraph" w:customStyle="1" w:styleId="38">
    <w:name w:val="Plain Text"/>
    <w:basedOn w:val="1"/>
    <w:qFormat/>
    <w:uiPriority w:val="0"/>
    <w:pPr>
      <w:adjustRightInd w:val="0"/>
      <w:textAlignment w:val="baseline"/>
    </w:pPr>
    <w:rPr>
      <w:rFonts w:ascii="宋体" w:hAnsi="Courier New" w:eastAsia="楷体_GB2312" w:cs="Times New Roman"/>
      <w:sz w:val="28"/>
      <w:szCs w:val="20"/>
    </w:rPr>
  </w:style>
  <w:style w:type="paragraph" w:customStyle="1" w:styleId="39">
    <w:name w:val="纯文本1"/>
    <w:basedOn w:val="1"/>
    <w:qFormat/>
    <w:uiPriority w:val="0"/>
    <w:pPr>
      <w:adjustRightInd w:val="0"/>
      <w:textAlignment w:val="baseline"/>
    </w:pPr>
    <w:rPr>
      <w:rFonts w:ascii="宋体" w:hAnsi="Courier New" w:eastAsia="楷体_GB2312"/>
      <w:sz w:val="26"/>
    </w:rPr>
  </w:style>
  <w:style w:type="paragraph" w:styleId="40">
    <w:name w:val="List Paragraph"/>
    <w:basedOn w:val="1"/>
    <w:qFormat/>
    <w:uiPriority w:val="0"/>
    <w:pPr>
      <w:ind w:firstLine="420" w:firstLineChars="200"/>
    </w:pPr>
  </w:style>
  <w:style w:type="paragraph" w:customStyle="1" w:styleId="41">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2">
    <w:name w:val="Í¼¡À¡¡¡¡¡¡¨¬¬¬ªÕýÎÄ"/>
    <w:basedOn w:val="1"/>
    <w:next w:val="8"/>
    <w:qFormat/>
    <w:uiPriority w:val="99"/>
    <w:pPr>
      <w:ind w:firstLine="420" w:firstLineChars="200"/>
    </w:pPr>
    <w:rPr>
      <w:rFonts w:ascii="Times New Roman" w:hAnsi="Times New Roman"/>
      <w:sz w:val="24"/>
      <w:szCs w:val="20"/>
    </w:rPr>
  </w:style>
  <w:style w:type="paragraph" w:customStyle="1" w:styleId="43">
    <w:name w:val="Í¼¡À¡¡¡¡ì¬ªÕýÎÄ"/>
    <w:basedOn w:val="1"/>
    <w:next w:val="8"/>
    <w:qFormat/>
    <w:uiPriority w:val="99"/>
    <w:pPr>
      <w:ind w:firstLine="420" w:firstLineChars="200"/>
    </w:pPr>
    <w:rPr>
      <w:rFonts w:ascii="Times New Roman" w:hAnsi="Times New Roman" w:cs="Times New Roman"/>
      <w:sz w:val="24"/>
      <w:szCs w:val="20"/>
    </w:rPr>
  </w:style>
  <w:style w:type="paragraph" w:customStyle="1" w:styleId="44">
    <w:name w:val="列出段落1"/>
    <w:basedOn w:val="1"/>
    <w:qFormat/>
    <w:uiPriority w:val="0"/>
    <w:pPr>
      <w:ind w:firstLine="420" w:firstLineChars="200"/>
    </w:pPr>
    <w:rPr>
      <w:color w:val="595959"/>
    </w:rPr>
  </w:style>
  <w:style w:type="paragraph" w:customStyle="1" w:styleId="45">
    <w:name w:val="列出段落2"/>
    <w:basedOn w:val="1"/>
    <w:qFormat/>
    <w:uiPriority w:val="99"/>
    <w:pPr>
      <w:ind w:firstLine="420" w:firstLineChars="200"/>
    </w:pPr>
    <w:rPr>
      <w:rFonts w:ascii="Calibri" w:hAnsi="Calibri" w:cs="Times New Roman"/>
      <w:sz w:val="21"/>
      <w:szCs w:val="22"/>
    </w:rPr>
  </w:style>
  <w:style w:type="table" w:customStyle="1" w:styleId="46">
    <w:name w:val="网格型1"/>
    <w:basedOn w:val="23"/>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7">
    <w:name w:val="段"/>
    <w:next w:val="1"/>
    <w:qFormat/>
    <w:uiPriority w:val="0"/>
    <w:pPr>
      <w:autoSpaceDE w:val="0"/>
      <w:autoSpaceDN w:val="0"/>
      <w:ind w:firstLine="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4910</Words>
  <Characters>27987</Characters>
  <Lines>233</Lines>
  <Paragraphs>65</Paragraphs>
  <TotalTime>5</TotalTime>
  <ScaleCrop>false</ScaleCrop>
  <LinksUpToDate>false</LinksUpToDate>
  <CharactersWithSpaces>32832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胡天</cp:lastModifiedBy>
  <cp:lastPrinted>2020-07-22T02:30:00Z</cp:lastPrinted>
  <dcterms:modified xsi:type="dcterms:W3CDTF">2021-06-03T08:23:18Z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DCA76C48DB084EA99ACE08D0BB9645DC</vt:lpwstr>
  </property>
</Properties>
</file>