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4A9E" w:rsidRDefault="00B720EF">
      <w:pPr>
        <w:jc w:val="center"/>
        <w:rPr>
          <w:rFonts w:hAnsi="宋体"/>
          <w:b/>
          <w:sz w:val="32"/>
          <w:szCs w:val="32"/>
        </w:rPr>
      </w:pPr>
      <w:r>
        <w:rPr>
          <w:rFonts w:hAnsi="宋体" w:hint="eastAsia"/>
          <w:b/>
          <w:sz w:val="32"/>
          <w:szCs w:val="32"/>
        </w:rPr>
        <w:t>清单、招标控制价编制说明</w:t>
      </w:r>
    </w:p>
    <w:p w:rsidR="00554A9E" w:rsidRDefault="00B720EF">
      <w:pPr>
        <w:autoSpaceDE w:val="0"/>
        <w:autoSpaceDN w:val="0"/>
        <w:adjustRightInd w:val="0"/>
        <w:spacing w:line="360" w:lineRule="auto"/>
        <w:jc w:val="left"/>
        <w:rPr>
          <w:rFonts w:ascii="宋体" w:cs="宋体"/>
          <w:b/>
          <w:kern w:val="0"/>
          <w:sz w:val="24"/>
          <w:szCs w:val="24"/>
        </w:rPr>
      </w:pPr>
      <w:r>
        <w:rPr>
          <w:rFonts w:ascii="宋体" w:cs="宋体" w:hint="eastAsia"/>
          <w:b/>
          <w:kern w:val="0"/>
          <w:sz w:val="24"/>
          <w:szCs w:val="24"/>
        </w:rPr>
        <w:t>工程名称：</w:t>
      </w:r>
      <w:r w:rsidR="004578C6" w:rsidRPr="004578C6">
        <w:rPr>
          <w:rFonts w:ascii="宋体" w:cs="宋体" w:hint="eastAsia"/>
          <w:b/>
          <w:kern w:val="0"/>
          <w:sz w:val="24"/>
          <w:szCs w:val="24"/>
        </w:rPr>
        <w:t>常州工业职业技术学院工训楼外墙出新工程</w:t>
      </w:r>
    </w:p>
    <w:p w:rsidR="00554A9E" w:rsidRDefault="00B720EF">
      <w:pPr>
        <w:autoSpaceDE w:val="0"/>
        <w:autoSpaceDN w:val="0"/>
        <w:adjustRightInd w:val="0"/>
        <w:spacing w:line="360" w:lineRule="auto"/>
        <w:jc w:val="left"/>
        <w:rPr>
          <w:rFonts w:ascii="宋体" w:cs="宋体"/>
          <w:b/>
          <w:bCs/>
          <w:kern w:val="0"/>
          <w:sz w:val="24"/>
          <w:szCs w:val="24"/>
        </w:rPr>
      </w:pPr>
      <w:r>
        <w:rPr>
          <w:rFonts w:hint="eastAsia"/>
          <w:sz w:val="24"/>
        </w:rPr>
        <w:t>一、工程概况：</w:t>
      </w:r>
      <w:r w:rsidR="004578C6" w:rsidRPr="004578C6">
        <w:rPr>
          <w:rFonts w:hint="eastAsia"/>
          <w:sz w:val="24"/>
        </w:rPr>
        <w:t>常州工业职业技术学院工训楼外墙出新工程</w:t>
      </w:r>
      <w:r>
        <w:rPr>
          <w:rFonts w:hint="eastAsia"/>
          <w:sz w:val="24"/>
        </w:rPr>
        <w:t>。</w:t>
      </w:r>
    </w:p>
    <w:p w:rsidR="00554A9E" w:rsidRDefault="00B720EF">
      <w:pPr>
        <w:autoSpaceDE w:val="0"/>
        <w:autoSpaceDN w:val="0"/>
        <w:adjustRightInd w:val="0"/>
        <w:spacing w:line="360" w:lineRule="auto"/>
        <w:jc w:val="left"/>
        <w:rPr>
          <w:sz w:val="24"/>
        </w:rPr>
      </w:pPr>
      <w:r>
        <w:rPr>
          <w:rFonts w:hint="eastAsia"/>
          <w:sz w:val="24"/>
        </w:rPr>
        <w:t>二、招标范围：设计图纸及工程量清单范围内的全部内容。</w:t>
      </w:r>
    </w:p>
    <w:p w:rsidR="00554A9E" w:rsidRDefault="00B720EF">
      <w:pPr>
        <w:autoSpaceDE w:val="0"/>
        <w:autoSpaceDN w:val="0"/>
        <w:adjustRightInd w:val="0"/>
        <w:spacing w:line="360" w:lineRule="auto"/>
        <w:jc w:val="left"/>
        <w:rPr>
          <w:sz w:val="24"/>
        </w:rPr>
      </w:pPr>
      <w:r>
        <w:rPr>
          <w:rFonts w:hint="eastAsia"/>
          <w:sz w:val="24"/>
        </w:rPr>
        <w:t>三、清单编制依据：</w:t>
      </w:r>
    </w:p>
    <w:p w:rsidR="00554A9E" w:rsidRDefault="00B720EF">
      <w:pPr>
        <w:autoSpaceDE w:val="0"/>
        <w:autoSpaceDN w:val="0"/>
        <w:adjustRightInd w:val="0"/>
        <w:spacing w:line="360" w:lineRule="auto"/>
        <w:jc w:val="left"/>
        <w:rPr>
          <w:sz w:val="24"/>
        </w:rPr>
      </w:pPr>
      <w:r>
        <w:rPr>
          <w:rFonts w:hint="eastAsia"/>
          <w:sz w:val="24"/>
        </w:rPr>
        <w:t>（</w:t>
      </w:r>
      <w:r>
        <w:rPr>
          <w:sz w:val="24"/>
        </w:rPr>
        <w:t>1</w:t>
      </w:r>
      <w:r>
        <w:rPr>
          <w:rFonts w:hint="eastAsia"/>
          <w:sz w:val="24"/>
        </w:rPr>
        <w:t>）《建设工程工程量清单计价规范》</w:t>
      </w:r>
      <w:r>
        <w:rPr>
          <w:sz w:val="24"/>
        </w:rPr>
        <w:t>GB50500-2013</w:t>
      </w:r>
      <w:r>
        <w:rPr>
          <w:rFonts w:hint="eastAsia"/>
          <w:sz w:val="24"/>
        </w:rPr>
        <w:t>、《江苏省建设工程费用定额》</w:t>
      </w:r>
      <w:r>
        <w:rPr>
          <w:sz w:val="24"/>
        </w:rPr>
        <w:t xml:space="preserve">2014 </w:t>
      </w:r>
      <w:r>
        <w:rPr>
          <w:rFonts w:hint="eastAsia"/>
          <w:sz w:val="24"/>
        </w:rPr>
        <w:t>版、《江苏省建筑与装饰工程计价定额》</w:t>
      </w:r>
      <w:r>
        <w:rPr>
          <w:sz w:val="24"/>
        </w:rPr>
        <w:t xml:space="preserve">2014 </w:t>
      </w:r>
      <w:r>
        <w:rPr>
          <w:rFonts w:hint="eastAsia"/>
          <w:sz w:val="24"/>
        </w:rPr>
        <w:t>版、《江苏省安装工程计价定额》</w:t>
      </w:r>
      <w:r>
        <w:rPr>
          <w:sz w:val="24"/>
        </w:rPr>
        <w:t xml:space="preserve">2014 </w:t>
      </w:r>
      <w:r>
        <w:rPr>
          <w:rFonts w:hint="eastAsia"/>
          <w:sz w:val="24"/>
        </w:rPr>
        <w:t>版、《江苏省房屋修缮工程计价表》</w:t>
      </w:r>
      <w:r>
        <w:rPr>
          <w:sz w:val="24"/>
        </w:rPr>
        <w:t xml:space="preserve">2010 </w:t>
      </w:r>
      <w:r>
        <w:rPr>
          <w:rFonts w:hint="eastAsia"/>
          <w:sz w:val="24"/>
        </w:rPr>
        <w:t>版、《江苏省市政工程计价定额》</w:t>
      </w:r>
      <w:r>
        <w:rPr>
          <w:sz w:val="24"/>
        </w:rPr>
        <w:t xml:space="preserve">2014 </w:t>
      </w:r>
      <w:r>
        <w:rPr>
          <w:rFonts w:hint="eastAsia"/>
          <w:sz w:val="24"/>
        </w:rPr>
        <w:t>版、苏建价【</w:t>
      </w:r>
      <w:r>
        <w:rPr>
          <w:sz w:val="24"/>
        </w:rPr>
        <w:t>2016</w:t>
      </w:r>
      <w:r>
        <w:rPr>
          <w:rFonts w:hint="eastAsia"/>
          <w:sz w:val="24"/>
        </w:rPr>
        <w:t>】</w:t>
      </w:r>
      <w:r>
        <w:rPr>
          <w:sz w:val="24"/>
        </w:rPr>
        <w:t>154</w:t>
      </w:r>
      <w:r>
        <w:rPr>
          <w:rFonts w:hint="eastAsia"/>
          <w:sz w:val="24"/>
        </w:rPr>
        <w:t>号、常建【</w:t>
      </w:r>
      <w:r>
        <w:rPr>
          <w:sz w:val="24"/>
        </w:rPr>
        <w:t>201</w:t>
      </w:r>
      <w:r>
        <w:rPr>
          <w:rFonts w:hint="eastAsia"/>
          <w:sz w:val="24"/>
        </w:rPr>
        <w:t>4</w:t>
      </w:r>
      <w:r>
        <w:rPr>
          <w:rFonts w:hint="eastAsia"/>
          <w:sz w:val="24"/>
        </w:rPr>
        <w:t>】</w:t>
      </w:r>
      <w:r>
        <w:rPr>
          <w:rFonts w:hint="eastAsia"/>
          <w:sz w:val="24"/>
        </w:rPr>
        <w:t>279</w:t>
      </w:r>
      <w:r>
        <w:rPr>
          <w:rFonts w:hint="eastAsia"/>
          <w:sz w:val="24"/>
        </w:rPr>
        <w:t>号、常建【</w:t>
      </w:r>
      <w:r>
        <w:rPr>
          <w:sz w:val="24"/>
        </w:rPr>
        <w:t>2016</w:t>
      </w:r>
      <w:r>
        <w:rPr>
          <w:rFonts w:hint="eastAsia"/>
          <w:sz w:val="24"/>
        </w:rPr>
        <w:t>】</w:t>
      </w:r>
      <w:r>
        <w:rPr>
          <w:sz w:val="24"/>
        </w:rPr>
        <w:t>94</w:t>
      </w:r>
      <w:r>
        <w:rPr>
          <w:rFonts w:hint="eastAsia"/>
          <w:sz w:val="24"/>
        </w:rPr>
        <w:t>号、苏建函价【</w:t>
      </w:r>
      <w:r>
        <w:rPr>
          <w:sz w:val="24"/>
        </w:rPr>
        <w:t>2018</w:t>
      </w:r>
      <w:r>
        <w:rPr>
          <w:rFonts w:hint="eastAsia"/>
          <w:sz w:val="24"/>
        </w:rPr>
        <w:t>】</w:t>
      </w:r>
      <w:r>
        <w:rPr>
          <w:sz w:val="24"/>
        </w:rPr>
        <w:t>298</w:t>
      </w:r>
      <w:r>
        <w:rPr>
          <w:rFonts w:hint="eastAsia"/>
          <w:sz w:val="24"/>
        </w:rPr>
        <w:t>号、常建【</w:t>
      </w:r>
      <w:r>
        <w:rPr>
          <w:rFonts w:hint="eastAsia"/>
          <w:sz w:val="24"/>
        </w:rPr>
        <w:t>2019</w:t>
      </w:r>
      <w:r>
        <w:rPr>
          <w:rFonts w:hint="eastAsia"/>
          <w:sz w:val="24"/>
        </w:rPr>
        <w:t>】</w:t>
      </w:r>
      <w:r>
        <w:rPr>
          <w:sz w:val="24"/>
        </w:rPr>
        <w:t>1</w:t>
      </w:r>
      <w:r>
        <w:rPr>
          <w:rFonts w:hint="eastAsia"/>
          <w:sz w:val="24"/>
        </w:rPr>
        <w:t>号、省【</w:t>
      </w:r>
      <w:r>
        <w:rPr>
          <w:sz w:val="24"/>
        </w:rPr>
        <w:t>201</w:t>
      </w:r>
      <w:r>
        <w:rPr>
          <w:rFonts w:hint="eastAsia"/>
          <w:sz w:val="24"/>
        </w:rPr>
        <w:t>9</w:t>
      </w:r>
      <w:r>
        <w:rPr>
          <w:rFonts w:hint="eastAsia"/>
          <w:sz w:val="24"/>
        </w:rPr>
        <w:t>】</w:t>
      </w:r>
      <w:r>
        <w:rPr>
          <w:rFonts w:hint="eastAsia"/>
          <w:sz w:val="24"/>
        </w:rPr>
        <w:t>19</w:t>
      </w:r>
      <w:r>
        <w:rPr>
          <w:rFonts w:hint="eastAsia"/>
          <w:sz w:val="24"/>
        </w:rPr>
        <w:t>号等相关文件、法律法规及规范要求编制。</w:t>
      </w:r>
    </w:p>
    <w:p w:rsidR="00554A9E" w:rsidRDefault="00B720EF">
      <w:pPr>
        <w:autoSpaceDE w:val="0"/>
        <w:autoSpaceDN w:val="0"/>
        <w:adjustRightInd w:val="0"/>
        <w:spacing w:line="360" w:lineRule="auto"/>
        <w:jc w:val="left"/>
        <w:rPr>
          <w:sz w:val="24"/>
        </w:rPr>
      </w:pPr>
      <w:r>
        <w:rPr>
          <w:rFonts w:hint="eastAsia"/>
          <w:sz w:val="24"/>
        </w:rPr>
        <w:t>（</w:t>
      </w:r>
      <w:r>
        <w:rPr>
          <w:rFonts w:hint="eastAsia"/>
          <w:sz w:val="24"/>
        </w:rPr>
        <w:t>2</w:t>
      </w:r>
      <w:r>
        <w:rPr>
          <w:rFonts w:hint="eastAsia"/>
          <w:sz w:val="24"/>
        </w:rPr>
        <w:t>）设计图纸及现场踏勘数据等。</w:t>
      </w:r>
    </w:p>
    <w:p w:rsidR="00554A9E" w:rsidRDefault="00B720EF">
      <w:pPr>
        <w:autoSpaceDE w:val="0"/>
        <w:autoSpaceDN w:val="0"/>
        <w:adjustRightInd w:val="0"/>
        <w:spacing w:line="360" w:lineRule="auto"/>
        <w:jc w:val="left"/>
        <w:rPr>
          <w:sz w:val="24"/>
        </w:rPr>
      </w:pPr>
      <w:r>
        <w:rPr>
          <w:rFonts w:hint="eastAsia"/>
          <w:sz w:val="24"/>
        </w:rPr>
        <w:t>（</w:t>
      </w:r>
      <w:r>
        <w:rPr>
          <w:sz w:val="24"/>
        </w:rPr>
        <w:t>3</w:t>
      </w:r>
      <w:r>
        <w:rPr>
          <w:rFonts w:hint="eastAsia"/>
          <w:sz w:val="24"/>
        </w:rPr>
        <w:t>）凡本清单中明确的，按本清单内容编制投标报价。</w:t>
      </w:r>
    </w:p>
    <w:p w:rsidR="00554A9E" w:rsidRDefault="00B720EF">
      <w:pPr>
        <w:autoSpaceDE w:val="0"/>
        <w:autoSpaceDN w:val="0"/>
        <w:adjustRightInd w:val="0"/>
        <w:spacing w:line="360" w:lineRule="auto"/>
        <w:jc w:val="left"/>
        <w:rPr>
          <w:sz w:val="24"/>
        </w:rPr>
      </w:pPr>
      <w:r>
        <w:rPr>
          <w:rFonts w:hint="eastAsia"/>
          <w:sz w:val="24"/>
        </w:rPr>
        <w:t>（</w:t>
      </w:r>
      <w:r>
        <w:rPr>
          <w:sz w:val="24"/>
        </w:rPr>
        <w:t>4</w:t>
      </w:r>
      <w:r>
        <w:rPr>
          <w:rFonts w:hint="eastAsia"/>
          <w:sz w:val="24"/>
        </w:rPr>
        <w:t>）凡本清单中未作说明的，按上述规范、文件和要求编制投标报价。</w:t>
      </w:r>
    </w:p>
    <w:p w:rsidR="00554A9E" w:rsidRDefault="00B720EF">
      <w:pPr>
        <w:autoSpaceDE w:val="0"/>
        <w:autoSpaceDN w:val="0"/>
        <w:adjustRightInd w:val="0"/>
        <w:spacing w:line="360" w:lineRule="auto"/>
        <w:jc w:val="left"/>
        <w:rPr>
          <w:sz w:val="24"/>
        </w:rPr>
      </w:pPr>
      <w:r>
        <w:rPr>
          <w:rFonts w:hint="eastAsia"/>
          <w:sz w:val="24"/>
        </w:rPr>
        <w:t>四、工程质量：见招标文件。</w:t>
      </w:r>
    </w:p>
    <w:p w:rsidR="00554A9E" w:rsidRDefault="00B720EF">
      <w:pPr>
        <w:spacing w:line="360" w:lineRule="auto"/>
        <w:rPr>
          <w:sz w:val="24"/>
        </w:rPr>
      </w:pPr>
      <w:r>
        <w:rPr>
          <w:rFonts w:hint="eastAsia"/>
          <w:sz w:val="24"/>
        </w:rPr>
        <w:t>五、工程类别：</w:t>
      </w:r>
      <w:r w:rsidR="004578C6">
        <w:rPr>
          <w:rFonts w:hint="eastAsia"/>
          <w:sz w:val="24"/>
        </w:rPr>
        <w:t>见招标文件</w:t>
      </w:r>
      <w:r>
        <w:rPr>
          <w:rFonts w:hint="eastAsia"/>
          <w:sz w:val="24"/>
        </w:rPr>
        <w:t>。</w:t>
      </w:r>
    </w:p>
    <w:p w:rsidR="00554A9E" w:rsidRDefault="00B720EF">
      <w:pPr>
        <w:autoSpaceDE w:val="0"/>
        <w:autoSpaceDN w:val="0"/>
        <w:adjustRightInd w:val="0"/>
        <w:spacing w:line="360" w:lineRule="auto"/>
        <w:jc w:val="left"/>
        <w:rPr>
          <w:sz w:val="24"/>
        </w:rPr>
      </w:pPr>
      <w:r>
        <w:rPr>
          <w:rFonts w:hint="eastAsia"/>
          <w:sz w:val="24"/>
        </w:rPr>
        <w:t>六、现场安全文明施工费基本费率、扬尘污染防治增加费费率、暂列金额、建筑工人实名制费用按招标文件规定计取。</w:t>
      </w:r>
    </w:p>
    <w:p w:rsidR="00554A9E" w:rsidRDefault="00B720EF">
      <w:pPr>
        <w:spacing w:line="360" w:lineRule="auto"/>
        <w:rPr>
          <w:sz w:val="24"/>
        </w:rPr>
      </w:pPr>
      <w:r>
        <w:rPr>
          <w:rFonts w:hint="eastAsia"/>
          <w:sz w:val="24"/>
        </w:rPr>
        <w:t>七、规费税金费率按招标文件规定的费率计取。</w:t>
      </w:r>
    </w:p>
    <w:p w:rsidR="00554A9E" w:rsidRDefault="00B720EF">
      <w:pPr>
        <w:spacing w:line="360" w:lineRule="auto"/>
        <w:rPr>
          <w:sz w:val="24"/>
        </w:rPr>
      </w:pPr>
      <w:r>
        <w:rPr>
          <w:rFonts w:hint="eastAsia"/>
          <w:sz w:val="24"/>
        </w:rPr>
        <w:t>八、人工、材料价格：人工按《省住房城乡建设厅关于发布建设工程人工工资指导价的通知》（苏建函价</w:t>
      </w:r>
      <w:r>
        <w:rPr>
          <w:rFonts w:ascii="宋体" w:hAnsi="宋体" w:cs="仿宋" w:hint="eastAsia"/>
          <w:sz w:val="24"/>
        </w:rPr>
        <w:t>【</w:t>
      </w:r>
      <w:r>
        <w:rPr>
          <w:rFonts w:ascii="宋体" w:hAnsi="宋体" w:cs="仿宋"/>
          <w:sz w:val="24"/>
        </w:rPr>
        <w:t>20</w:t>
      </w:r>
      <w:r>
        <w:rPr>
          <w:rFonts w:ascii="宋体" w:hAnsi="宋体" w:cs="仿宋" w:hint="eastAsia"/>
          <w:sz w:val="24"/>
        </w:rPr>
        <w:t>2</w:t>
      </w:r>
      <w:r w:rsidR="004578C6">
        <w:rPr>
          <w:rFonts w:ascii="宋体" w:hAnsi="宋体" w:cs="仿宋" w:hint="eastAsia"/>
          <w:sz w:val="24"/>
        </w:rPr>
        <w:t>1</w:t>
      </w:r>
      <w:r>
        <w:rPr>
          <w:rFonts w:ascii="宋体" w:hAnsi="宋体" w:cs="仿宋" w:hint="eastAsia"/>
          <w:sz w:val="24"/>
        </w:rPr>
        <w:t>】</w:t>
      </w:r>
      <w:r w:rsidR="004578C6">
        <w:rPr>
          <w:rFonts w:ascii="宋体" w:hAnsi="宋体" w:cs="仿宋" w:hint="eastAsia"/>
          <w:sz w:val="24"/>
        </w:rPr>
        <w:t>62</w:t>
      </w:r>
      <w:r>
        <w:rPr>
          <w:rFonts w:ascii="宋体" w:hAnsi="宋体" w:cs="仿宋" w:hint="eastAsia"/>
          <w:sz w:val="24"/>
        </w:rPr>
        <w:t>号</w:t>
      </w:r>
      <w:r>
        <w:rPr>
          <w:rFonts w:hint="eastAsia"/>
          <w:sz w:val="24"/>
        </w:rPr>
        <w:t>）执行，材料按</w:t>
      </w:r>
      <w:r>
        <w:rPr>
          <w:sz w:val="24"/>
        </w:rPr>
        <w:t>20</w:t>
      </w:r>
      <w:r>
        <w:rPr>
          <w:rFonts w:hint="eastAsia"/>
          <w:sz w:val="24"/>
        </w:rPr>
        <w:t>2</w:t>
      </w:r>
      <w:r w:rsidR="004578C6">
        <w:rPr>
          <w:rFonts w:hint="eastAsia"/>
          <w:sz w:val="24"/>
        </w:rPr>
        <w:t>1</w:t>
      </w:r>
      <w:r>
        <w:rPr>
          <w:rFonts w:hint="eastAsia"/>
          <w:sz w:val="24"/>
        </w:rPr>
        <w:t>年</w:t>
      </w:r>
      <w:r w:rsidR="00E60E86">
        <w:rPr>
          <w:rFonts w:hint="eastAsia"/>
          <w:sz w:val="24"/>
        </w:rPr>
        <w:t>4</w:t>
      </w:r>
      <w:r>
        <w:rPr>
          <w:rFonts w:hint="eastAsia"/>
          <w:sz w:val="24"/>
        </w:rPr>
        <w:t>月份常州工程造价信息材料除税指导价进行编制。</w:t>
      </w:r>
    </w:p>
    <w:p w:rsidR="00554A9E" w:rsidRDefault="00B720EF">
      <w:pPr>
        <w:autoSpaceDE w:val="0"/>
        <w:autoSpaceDN w:val="0"/>
        <w:adjustRightInd w:val="0"/>
        <w:spacing w:line="360" w:lineRule="auto"/>
        <w:jc w:val="left"/>
        <w:rPr>
          <w:sz w:val="24"/>
        </w:rPr>
      </w:pPr>
      <w:r>
        <w:rPr>
          <w:rFonts w:hint="eastAsia"/>
          <w:sz w:val="24"/>
        </w:rPr>
        <w:t>九、总价措施项目清单中的现场安全文明施工费为不可竞争费，投标报价时按招标文件费率计取不得让利。</w:t>
      </w:r>
    </w:p>
    <w:p w:rsidR="00554A9E" w:rsidRDefault="00B720EF">
      <w:pPr>
        <w:autoSpaceDE w:val="0"/>
        <w:autoSpaceDN w:val="0"/>
        <w:adjustRightInd w:val="0"/>
        <w:spacing w:line="360" w:lineRule="auto"/>
        <w:jc w:val="left"/>
        <w:rPr>
          <w:sz w:val="24"/>
        </w:rPr>
      </w:pPr>
      <w:r>
        <w:rPr>
          <w:rFonts w:hint="eastAsia"/>
          <w:sz w:val="24"/>
        </w:rPr>
        <w:t>十、暂估价及其他项目清单中的暂列金额及专业工程暂估价为不可竞争费。</w:t>
      </w:r>
    </w:p>
    <w:p w:rsidR="00554A9E" w:rsidRDefault="00B720EF">
      <w:pPr>
        <w:autoSpaceDE w:val="0"/>
        <w:autoSpaceDN w:val="0"/>
        <w:adjustRightInd w:val="0"/>
        <w:spacing w:line="360" w:lineRule="auto"/>
        <w:jc w:val="left"/>
        <w:rPr>
          <w:sz w:val="24"/>
        </w:rPr>
      </w:pPr>
      <w:r>
        <w:rPr>
          <w:rFonts w:hint="eastAsia"/>
          <w:sz w:val="24"/>
        </w:rPr>
        <w:t>十一、安全文明施工费、规费、税金在项目清单中所列费率均为不可竞争费率。</w:t>
      </w:r>
    </w:p>
    <w:p w:rsidR="00554A9E" w:rsidRDefault="00B720EF">
      <w:pPr>
        <w:autoSpaceDE w:val="0"/>
        <w:autoSpaceDN w:val="0"/>
        <w:adjustRightInd w:val="0"/>
        <w:spacing w:line="300" w:lineRule="auto"/>
        <w:jc w:val="left"/>
        <w:rPr>
          <w:sz w:val="24"/>
        </w:rPr>
      </w:pPr>
      <w:r>
        <w:rPr>
          <w:rFonts w:hint="eastAsia"/>
          <w:sz w:val="24"/>
        </w:rPr>
        <w:t>十</w:t>
      </w:r>
      <w:r w:rsidR="004578C6">
        <w:rPr>
          <w:rFonts w:hint="eastAsia"/>
          <w:sz w:val="24"/>
        </w:rPr>
        <w:t>二</w:t>
      </w:r>
      <w:r>
        <w:rPr>
          <w:rFonts w:hint="eastAsia"/>
          <w:sz w:val="24"/>
        </w:rPr>
        <w:t>、涉及人工降效、超高增加费，材料二次搬运费用的，由投标人自行考虑在投标报价中。</w:t>
      </w:r>
    </w:p>
    <w:p w:rsidR="00554A9E" w:rsidRDefault="00554A9E">
      <w:pPr>
        <w:autoSpaceDE w:val="0"/>
        <w:autoSpaceDN w:val="0"/>
        <w:adjustRightInd w:val="0"/>
        <w:spacing w:line="300" w:lineRule="auto"/>
        <w:jc w:val="left"/>
        <w:rPr>
          <w:sz w:val="24"/>
        </w:rPr>
      </w:pPr>
    </w:p>
    <w:p w:rsidR="004578C6" w:rsidRDefault="004578C6">
      <w:pPr>
        <w:autoSpaceDE w:val="0"/>
        <w:autoSpaceDN w:val="0"/>
        <w:adjustRightInd w:val="0"/>
        <w:spacing w:line="300" w:lineRule="auto"/>
        <w:jc w:val="left"/>
        <w:rPr>
          <w:sz w:val="24"/>
        </w:rPr>
      </w:pPr>
    </w:p>
    <w:p w:rsidR="004578C6" w:rsidRDefault="004578C6">
      <w:pPr>
        <w:autoSpaceDE w:val="0"/>
        <w:autoSpaceDN w:val="0"/>
        <w:adjustRightInd w:val="0"/>
        <w:spacing w:line="300" w:lineRule="auto"/>
        <w:jc w:val="left"/>
        <w:rPr>
          <w:sz w:val="24"/>
        </w:rPr>
      </w:pPr>
    </w:p>
    <w:p w:rsidR="00554A9E" w:rsidRDefault="00554A9E">
      <w:pPr>
        <w:rPr>
          <w:rFonts w:ascii="宋体" w:cs="宋体"/>
          <w:b/>
          <w:sz w:val="24"/>
          <w:szCs w:val="24"/>
        </w:rPr>
      </w:pPr>
    </w:p>
    <w:p w:rsidR="00554A9E" w:rsidRDefault="00554A9E">
      <w:pPr>
        <w:rPr>
          <w:rFonts w:ascii="宋体" w:cs="宋体"/>
          <w:b/>
          <w:sz w:val="24"/>
          <w:szCs w:val="24"/>
        </w:rPr>
      </w:pPr>
    </w:p>
    <w:p w:rsidR="00554A9E" w:rsidRDefault="00554A9E">
      <w:pPr>
        <w:rPr>
          <w:rFonts w:ascii="宋体" w:cs="宋体"/>
          <w:b/>
          <w:sz w:val="24"/>
          <w:szCs w:val="24"/>
        </w:rPr>
      </w:pPr>
    </w:p>
    <w:p w:rsidR="00554A9E" w:rsidRDefault="00554A9E">
      <w:pPr>
        <w:rPr>
          <w:rFonts w:ascii="宋体" w:cs="宋体"/>
          <w:b/>
          <w:sz w:val="24"/>
          <w:szCs w:val="24"/>
        </w:rPr>
      </w:pPr>
    </w:p>
    <w:p w:rsidR="00554A9E" w:rsidRDefault="00554A9E">
      <w:pPr>
        <w:autoSpaceDE w:val="0"/>
        <w:autoSpaceDN w:val="0"/>
        <w:adjustRightInd w:val="0"/>
        <w:spacing w:line="300" w:lineRule="auto"/>
        <w:jc w:val="left"/>
        <w:rPr>
          <w:sz w:val="24"/>
        </w:rPr>
      </w:pPr>
    </w:p>
    <w:p w:rsidR="004578C6" w:rsidRDefault="004578C6">
      <w:pPr>
        <w:ind w:firstLineChars="196" w:firstLine="472"/>
        <w:rPr>
          <w:rFonts w:ascii="宋体" w:hAnsi="宋体" w:cs="宋体"/>
          <w:b/>
          <w:sz w:val="24"/>
          <w:szCs w:val="24"/>
        </w:rPr>
      </w:pPr>
    </w:p>
    <w:p w:rsidR="004578C6" w:rsidRDefault="004578C6">
      <w:pPr>
        <w:ind w:firstLineChars="196" w:firstLine="472"/>
        <w:rPr>
          <w:rFonts w:ascii="宋体" w:hAnsi="宋体" w:cs="宋体"/>
          <w:b/>
          <w:sz w:val="24"/>
          <w:szCs w:val="24"/>
        </w:rPr>
      </w:pPr>
    </w:p>
    <w:p w:rsidR="00554A9E" w:rsidRDefault="00B720EF">
      <w:pPr>
        <w:ind w:firstLineChars="196" w:firstLine="472"/>
        <w:rPr>
          <w:rFonts w:ascii="宋体" w:hAnsi="宋体" w:cs="宋体"/>
          <w:b/>
          <w:sz w:val="24"/>
          <w:szCs w:val="24"/>
        </w:rPr>
      </w:pPr>
      <w:r>
        <w:rPr>
          <w:rFonts w:ascii="宋体" w:hAnsi="宋体" w:cs="宋体" w:hint="eastAsia"/>
          <w:b/>
          <w:sz w:val="24"/>
          <w:szCs w:val="24"/>
        </w:rPr>
        <w:lastRenderedPageBreak/>
        <w:t>投标人按以下“材料备选品牌表”选用相应品牌材料报价（如未选择则视为同意由甲方在以下品牌中指定任一品牌要求乙方供货）。投标人应在材料进场前提供报价对应的品牌材料样品交由甲方认可后方可进场施工。如投标人拟在“招标文件(含工程量清单)”推荐所有设备(材料)品牌外自行选择品牌，自选设备(材料)品牌应在性能、技术指标、技术参数、质量、使用寿命等方面均不低于可选设备(材料)品牌相应性能、技术指标、技术参数、质量、使用寿命等方面的要求，具体详见按招标文件中投标人须知前附表。</w:t>
      </w:r>
    </w:p>
    <w:p w:rsidR="00554A9E" w:rsidRDefault="00554A9E">
      <w:pPr>
        <w:ind w:firstLineChars="196" w:firstLine="472"/>
        <w:rPr>
          <w:rFonts w:ascii="宋体" w:hAnsi="宋体" w:cs="宋体"/>
          <w:b/>
          <w:sz w:val="24"/>
          <w:szCs w:val="24"/>
        </w:rPr>
      </w:pPr>
    </w:p>
    <w:p w:rsidR="00554A9E" w:rsidRDefault="00B720EF">
      <w:pPr>
        <w:spacing w:line="360" w:lineRule="auto"/>
        <w:jc w:val="center"/>
        <w:rPr>
          <w:rFonts w:ascii="黑体" w:eastAsia="黑体" w:hAnsi="宋体" w:cs="宋体"/>
          <w:bCs/>
          <w:color w:val="000000"/>
          <w:sz w:val="28"/>
          <w:szCs w:val="28"/>
        </w:rPr>
      </w:pPr>
      <w:r>
        <w:rPr>
          <w:rFonts w:ascii="黑体" w:eastAsia="黑体" w:hAnsi="宋体" w:cs="宋体" w:hint="eastAsia"/>
          <w:bCs/>
          <w:color w:val="000000"/>
          <w:sz w:val="28"/>
          <w:szCs w:val="28"/>
        </w:rPr>
        <w:t xml:space="preserve">  </w:t>
      </w:r>
      <w:r w:rsidR="004578C6" w:rsidRPr="004578C6">
        <w:rPr>
          <w:rFonts w:ascii="宋体" w:cs="宋体" w:hint="eastAsia"/>
          <w:b/>
          <w:kern w:val="0"/>
          <w:sz w:val="24"/>
          <w:szCs w:val="24"/>
        </w:rPr>
        <w:t>常州工业职业技术学院工训楼外墙出新工程</w:t>
      </w:r>
    </w:p>
    <w:p w:rsidR="00554A9E" w:rsidRDefault="00B720EF">
      <w:pPr>
        <w:spacing w:line="360" w:lineRule="auto"/>
        <w:jc w:val="center"/>
        <w:rPr>
          <w:rFonts w:ascii="黑体" w:eastAsia="黑体" w:hAnsi="宋体" w:cs="宋体"/>
          <w:bCs/>
          <w:color w:val="000000"/>
          <w:sz w:val="28"/>
          <w:szCs w:val="28"/>
        </w:rPr>
      </w:pPr>
      <w:r>
        <w:rPr>
          <w:rFonts w:ascii="黑体" w:eastAsia="黑体" w:hAnsi="宋体" w:cs="宋体" w:hint="eastAsia"/>
          <w:bCs/>
          <w:color w:val="000000"/>
          <w:sz w:val="28"/>
          <w:szCs w:val="28"/>
        </w:rPr>
        <w:t>材料推荐备选品牌表</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20"/>
        <w:gridCol w:w="3827"/>
        <w:gridCol w:w="2301"/>
      </w:tblGrid>
      <w:tr w:rsidR="00554A9E">
        <w:trPr>
          <w:trHeight w:val="549"/>
          <w:jc w:val="center"/>
        </w:trPr>
        <w:tc>
          <w:tcPr>
            <w:tcW w:w="2620" w:type="dxa"/>
            <w:vAlign w:val="center"/>
          </w:tcPr>
          <w:p w:rsidR="00554A9E" w:rsidRDefault="00B720EF">
            <w:pPr>
              <w:spacing w:line="360" w:lineRule="auto"/>
              <w:jc w:val="center"/>
              <w:rPr>
                <w:sz w:val="24"/>
              </w:rPr>
            </w:pPr>
            <w:r>
              <w:rPr>
                <w:rFonts w:hint="eastAsia"/>
                <w:sz w:val="24"/>
              </w:rPr>
              <w:t>材料名称</w:t>
            </w:r>
          </w:p>
        </w:tc>
        <w:tc>
          <w:tcPr>
            <w:tcW w:w="3827" w:type="dxa"/>
            <w:vAlign w:val="center"/>
          </w:tcPr>
          <w:p w:rsidR="00554A9E" w:rsidRDefault="00B720EF">
            <w:pPr>
              <w:spacing w:line="360" w:lineRule="auto"/>
              <w:jc w:val="center"/>
              <w:rPr>
                <w:sz w:val="24"/>
              </w:rPr>
            </w:pPr>
            <w:r>
              <w:rPr>
                <w:rFonts w:hint="eastAsia"/>
                <w:sz w:val="24"/>
              </w:rPr>
              <w:t>备选品牌</w:t>
            </w:r>
          </w:p>
        </w:tc>
        <w:tc>
          <w:tcPr>
            <w:tcW w:w="2301" w:type="dxa"/>
            <w:vAlign w:val="center"/>
          </w:tcPr>
          <w:p w:rsidR="00554A9E" w:rsidRDefault="00B720EF">
            <w:pPr>
              <w:spacing w:line="360" w:lineRule="auto"/>
              <w:jc w:val="center"/>
              <w:rPr>
                <w:sz w:val="24"/>
              </w:rPr>
            </w:pPr>
            <w:r>
              <w:rPr>
                <w:rFonts w:hint="eastAsia"/>
                <w:sz w:val="24"/>
              </w:rPr>
              <w:t>备注</w:t>
            </w:r>
          </w:p>
        </w:tc>
      </w:tr>
      <w:tr w:rsidR="00554A9E">
        <w:trPr>
          <w:trHeight w:val="549"/>
          <w:jc w:val="center"/>
        </w:trPr>
        <w:tc>
          <w:tcPr>
            <w:tcW w:w="8748" w:type="dxa"/>
            <w:gridSpan w:val="3"/>
            <w:vAlign w:val="center"/>
          </w:tcPr>
          <w:p w:rsidR="00554A9E" w:rsidRDefault="00B720EF">
            <w:pPr>
              <w:spacing w:line="360" w:lineRule="auto"/>
              <w:jc w:val="left"/>
              <w:rPr>
                <w:sz w:val="24"/>
              </w:rPr>
            </w:pPr>
            <w:r>
              <w:rPr>
                <w:rFonts w:hint="eastAsia"/>
                <w:sz w:val="24"/>
              </w:rPr>
              <w:t>一、主要材料</w:t>
            </w:r>
          </w:p>
        </w:tc>
      </w:tr>
      <w:tr w:rsidR="00014B4C">
        <w:trPr>
          <w:trHeight w:val="549"/>
          <w:jc w:val="center"/>
        </w:trPr>
        <w:tc>
          <w:tcPr>
            <w:tcW w:w="2620" w:type="dxa"/>
            <w:vAlign w:val="center"/>
          </w:tcPr>
          <w:p w:rsidR="00014B4C" w:rsidRDefault="004578C6">
            <w:pPr>
              <w:spacing w:line="360" w:lineRule="auto"/>
              <w:jc w:val="center"/>
              <w:rPr>
                <w:sz w:val="24"/>
              </w:rPr>
            </w:pPr>
            <w:r>
              <w:rPr>
                <w:rFonts w:hint="eastAsia"/>
                <w:sz w:val="24"/>
              </w:rPr>
              <w:t>真石漆</w:t>
            </w:r>
          </w:p>
        </w:tc>
        <w:tc>
          <w:tcPr>
            <w:tcW w:w="3827" w:type="dxa"/>
            <w:vAlign w:val="center"/>
          </w:tcPr>
          <w:p w:rsidR="00014B4C" w:rsidRDefault="004578C6" w:rsidP="00391EF6">
            <w:pPr>
              <w:jc w:val="center"/>
              <w:rPr>
                <w:color w:val="000000"/>
              </w:rPr>
            </w:pPr>
            <w:r>
              <w:rPr>
                <w:rFonts w:hint="eastAsia"/>
                <w:color w:val="000000"/>
              </w:rPr>
              <w:t>立邦</w:t>
            </w:r>
            <w:r>
              <w:rPr>
                <w:rFonts w:hint="eastAsia"/>
                <w:color w:val="000000"/>
              </w:rPr>
              <w:t>/</w:t>
            </w:r>
            <w:r>
              <w:rPr>
                <w:rFonts w:hint="eastAsia"/>
                <w:color w:val="000000"/>
              </w:rPr>
              <w:t>晨光</w:t>
            </w:r>
            <w:r>
              <w:rPr>
                <w:rFonts w:hint="eastAsia"/>
                <w:color w:val="000000"/>
              </w:rPr>
              <w:t>/</w:t>
            </w:r>
            <w:r>
              <w:rPr>
                <w:rFonts w:hint="eastAsia"/>
                <w:color w:val="000000"/>
              </w:rPr>
              <w:t>光辉</w:t>
            </w:r>
          </w:p>
        </w:tc>
        <w:tc>
          <w:tcPr>
            <w:tcW w:w="2301" w:type="dxa"/>
            <w:vAlign w:val="center"/>
          </w:tcPr>
          <w:p w:rsidR="00014B4C" w:rsidRDefault="00014B4C">
            <w:pPr>
              <w:spacing w:line="360" w:lineRule="auto"/>
              <w:jc w:val="center"/>
              <w:rPr>
                <w:sz w:val="24"/>
              </w:rPr>
            </w:pPr>
          </w:p>
        </w:tc>
      </w:tr>
      <w:tr w:rsidR="00014B4C">
        <w:trPr>
          <w:trHeight w:val="549"/>
          <w:jc w:val="center"/>
        </w:trPr>
        <w:tc>
          <w:tcPr>
            <w:tcW w:w="2620" w:type="dxa"/>
            <w:vAlign w:val="center"/>
          </w:tcPr>
          <w:p w:rsidR="00014B4C" w:rsidRDefault="00014B4C" w:rsidP="00391EF6">
            <w:pPr>
              <w:jc w:val="center"/>
              <w:rPr>
                <w:color w:val="000000"/>
              </w:rPr>
            </w:pPr>
            <w:r>
              <w:rPr>
                <w:rFonts w:hint="eastAsia"/>
                <w:color w:val="000000"/>
              </w:rPr>
              <w:t>外墙弹性涂料</w:t>
            </w:r>
          </w:p>
        </w:tc>
        <w:tc>
          <w:tcPr>
            <w:tcW w:w="3827" w:type="dxa"/>
            <w:vAlign w:val="center"/>
          </w:tcPr>
          <w:p w:rsidR="00014B4C" w:rsidRDefault="00014B4C" w:rsidP="00391EF6">
            <w:pPr>
              <w:jc w:val="center"/>
              <w:rPr>
                <w:color w:val="000000"/>
              </w:rPr>
            </w:pPr>
            <w:r>
              <w:rPr>
                <w:rFonts w:hint="eastAsia"/>
                <w:color w:val="000000"/>
              </w:rPr>
              <w:t>立邦</w:t>
            </w:r>
            <w:r>
              <w:rPr>
                <w:rFonts w:hint="eastAsia"/>
                <w:color w:val="000000"/>
              </w:rPr>
              <w:t>/</w:t>
            </w:r>
            <w:r>
              <w:rPr>
                <w:rFonts w:hint="eastAsia"/>
                <w:color w:val="000000"/>
              </w:rPr>
              <w:t>晨光</w:t>
            </w:r>
            <w:r>
              <w:rPr>
                <w:rFonts w:hint="eastAsia"/>
                <w:color w:val="000000"/>
              </w:rPr>
              <w:t>/</w:t>
            </w:r>
            <w:r>
              <w:rPr>
                <w:rFonts w:hint="eastAsia"/>
                <w:color w:val="000000"/>
              </w:rPr>
              <w:t>光辉</w:t>
            </w:r>
          </w:p>
        </w:tc>
        <w:tc>
          <w:tcPr>
            <w:tcW w:w="2301" w:type="dxa"/>
            <w:vAlign w:val="center"/>
          </w:tcPr>
          <w:p w:rsidR="00014B4C" w:rsidRDefault="00014B4C">
            <w:pPr>
              <w:spacing w:line="360" w:lineRule="auto"/>
              <w:jc w:val="center"/>
              <w:rPr>
                <w:sz w:val="24"/>
              </w:rPr>
            </w:pPr>
          </w:p>
        </w:tc>
      </w:tr>
      <w:tr w:rsidR="00014B4C">
        <w:trPr>
          <w:trHeight w:val="549"/>
          <w:jc w:val="center"/>
        </w:trPr>
        <w:tc>
          <w:tcPr>
            <w:tcW w:w="2620" w:type="dxa"/>
            <w:vAlign w:val="center"/>
          </w:tcPr>
          <w:p w:rsidR="00014B4C" w:rsidRDefault="00014B4C" w:rsidP="00391EF6">
            <w:pPr>
              <w:jc w:val="center"/>
              <w:rPr>
                <w:color w:val="000000"/>
              </w:rPr>
            </w:pPr>
          </w:p>
        </w:tc>
        <w:tc>
          <w:tcPr>
            <w:tcW w:w="3827" w:type="dxa"/>
            <w:vAlign w:val="center"/>
          </w:tcPr>
          <w:p w:rsidR="00014B4C" w:rsidRDefault="00014B4C" w:rsidP="00391EF6">
            <w:pPr>
              <w:jc w:val="center"/>
              <w:rPr>
                <w:color w:val="000000"/>
              </w:rPr>
            </w:pPr>
          </w:p>
        </w:tc>
        <w:tc>
          <w:tcPr>
            <w:tcW w:w="2301" w:type="dxa"/>
            <w:vAlign w:val="center"/>
          </w:tcPr>
          <w:p w:rsidR="00014B4C" w:rsidRDefault="00014B4C">
            <w:pPr>
              <w:spacing w:line="360" w:lineRule="auto"/>
              <w:jc w:val="center"/>
              <w:rPr>
                <w:sz w:val="24"/>
              </w:rPr>
            </w:pPr>
          </w:p>
        </w:tc>
      </w:tr>
      <w:tr w:rsidR="00014B4C">
        <w:trPr>
          <w:trHeight w:val="345"/>
          <w:jc w:val="center"/>
        </w:trPr>
        <w:tc>
          <w:tcPr>
            <w:tcW w:w="2620" w:type="dxa"/>
            <w:vAlign w:val="center"/>
          </w:tcPr>
          <w:p w:rsidR="00014B4C" w:rsidRDefault="00014B4C" w:rsidP="00391EF6">
            <w:pPr>
              <w:jc w:val="center"/>
              <w:rPr>
                <w:color w:val="000000"/>
              </w:rPr>
            </w:pPr>
          </w:p>
        </w:tc>
        <w:tc>
          <w:tcPr>
            <w:tcW w:w="3827" w:type="dxa"/>
            <w:vAlign w:val="center"/>
          </w:tcPr>
          <w:p w:rsidR="00014B4C" w:rsidRDefault="00014B4C" w:rsidP="00391EF6">
            <w:pPr>
              <w:jc w:val="center"/>
              <w:rPr>
                <w:color w:val="000000"/>
              </w:rPr>
            </w:pPr>
          </w:p>
        </w:tc>
        <w:tc>
          <w:tcPr>
            <w:tcW w:w="2301" w:type="dxa"/>
            <w:vAlign w:val="center"/>
          </w:tcPr>
          <w:p w:rsidR="00014B4C" w:rsidRDefault="00014B4C">
            <w:pPr>
              <w:spacing w:line="360" w:lineRule="auto"/>
              <w:jc w:val="center"/>
              <w:rPr>
                <w:sz w:val="24"/>
              </w:rPr>
            </w:pPr>
          </w:p>
        </w:tc>
      </w:tr>
      <w:tr w:rsidR="00014B4C">
        <w:trPr>
          <w:trHeight w:val="240"/>
          <w:jc w:val="center"/>
        </w:trPr>
        <w:tc>
          <w:tcPr>
            <w:tcW w:w="2620" w:type="dxa"/>
            <w:vAlign w:val="center"/>
          </w:tcPr>
          <w:p w:rsidR="00014B4C" w:rsidRDefault="00014B4C" w:rsidP="00391EF6">
            <w:pPr>
              <w:jc w:val="center"/>
              <w:rPr>
                <w:color w:val="000000"/>
              </w:rPr>
            </w:pPr>
          </w:p>
        </w:tc>
        <w:tc>
          <w:tcPr>
            <w:tcW w:w="3827" w:type="dxa"/>
            <w:vAlign w:val="center"/>
          </w:tcPr>
          <w:p w:rsidR="00014B4C" w:rsidRDefault="00014B4C" w:rsidP="00391EF6">
            <w:pPr>
              <w:jc w:val="center"/>
              <w:rPr>
                <w:color w:val="000000"/>
              </w:rPr>
            </w:pPr>
          </w:p>
        </w:tc>
        <w:tc>
          <w:tcPr>
            <w:tcW w:w="2301" w:type="dxa"/>
            <w:vAlign w:val="center"/>
          </w:tcPr>
          <w:p w:rsidR="00014B4C" w:rsidRDefault="00014B4C">
            <w:pPr>
              <w:spacing w:line="360" w:lineRule="auto"/>
              <w:jc w:val="center"/>
              <w:rPr>
                <w:sz w:val="24"/>
              </w:rPr>
            </w:pPr>
          </w:p>
        </w:tc>
      </w:tr>
      <w:tr w:rsidR="00014B4C">
        <w:trPr>
          <w:trHeight w:val="390"/>
          <w:jc w:val="center"/>
        </w:trPr>
        <w:tc>
          <w:tcPr>
            <w:tcW w:w="2620" w:type="dxa"/>
            <w:vAlign w:val="center"/>
          </w:tcPr>
          <w:p w:rsidR="00014B4C" w:rsidRDefault="00014B4C" w:rsidP="00391EF6">
            <w:pPr>
              <w:jc w:val="center"/>
              <w:rPr>
                <w:color w:val="000000"/>
              </w:rPr>
            </w:pPr>
          </w:p>
        </w:tc>
        <w:tc>
          <w:tcPr>
            <w:tcW w:w="3827" w:type="dxa"/>
            <w:vAlign w:val="center"/>
          </w:tcPr>
          <w:p w:rsidR="00014B4C" w:rsidRDefault="00014B4C" w:rsidP="00391EF6">
            <w:pPr>
              <w:jc w:val="center"/>
              <w:rPr>
                <w:color w:val="000000"/>
              </w:rPr>
            </w:pPr>
          </w:p>
        </w:tc>
        <w:tc>
          <w:tcPr>
            <w:tcW w:w="2301" w:type="dxa"/>
            <w:vAlign w:val="center"/>
          </w:tcPr>
          <w:p w:rsidR="00014B4C" w:rsidRDefault="00014B4C">
            <w:pPr>
              <w:spacing w:line="360" w:lineRule="auto"/>
              <w:jc w:val="center"/>
              <w:rPr>
                <w:sz w:val="24"/>
              </w:rPr>
            </w:pPr>
          </w:p>
        </w:tc>
      </w:tr>
      <w:tr w:rsidR="00014B4C">
        <w:trPr>
          <w:trHeight w:val="225"/>
          <w:jc w:val="center"/>
        </w:trPr>
        <w:tc>
          <w:tcPr>
            <w:tcW w:w="2620" w:type="dxa"/>
            <w:vAlign w:val="center"/>
          </w:tcPr>
          <w:p w:rsidR="00014B4C" w:rsidRDefault="00014B4C" w:rsidP="00391EF6">
            <w:pPr>
              <w:jc w:val="center"/>
              <w:rPr>
                <w:color w:val="000000"/>
              </w:rPr>
            </w:pPr>
          </w:p>
        </w:tc>
        <w:tc>
          <w:tcPr>
            <w:tcW w:w="3827" w:type="dxa"/>
            <w:vAlign w:val="center"/>
          </w:tcPr>
          <w:p w:rsidR="00014B4C" w:rsidRDefault="00014B4C">
            <w:pPr>
              <w:spacing w:line="360" w:lineRule="auto"/>
              <w:jc w:val="center"/>
              <w:rPr>
                <w:sz w:val="24"/>
              </w:rPr>
            </w:pPr>
          </w:p>
        </w:tc>
        <w:tc>
          <w:tcPr>
            <w:tcW w:w="2301" w:type="dxa"/>
            <w:vAlign w:val="center"/>
          </w:tcPr>
          <w:p w:rsidR="00014B4C" w:rsidRDefault="00014B4C">
            <w:pPr>
              <w:spacing w:line="360" w:lineRule="auto"/>
              <w:jc w:val="center"/>
              <w:rPr>
                <w:sz w:val="24"/>
              </w:rPr>
            </w:pPr>
          </w:p>
        </w:tc>
      </w:tr>
      <w:tr w:rsidR="00554A9E">
        <w:trPr>
          <w:trHeight w:val="240"/>
          <w:jc w:val="center"/>
        </w:trPr>
        <w:tc>
          <w:tcPr>
            <w:tcW w:w="2620" w:type="dxa"/>
            <w:vAlign w:val="center"/>
          </w:tcPr>
          <w:p w:rsidR="00554A9E" w:rsidRDefault="00554A9E">
            <w:pPr>
              <w:spacing w:line="360" w:lineRule="auto"/>
              <w:jc w:val="center"/>
              <w:rPr>
                <w:sz w:val="24"/>
              </w:rPr>
            </w:pPr>
          </w:p>
        </w:tc>
        <w:tc>
          <w:tcPr>
            <w:tcW w:w="3827" w:type="dxa"/>
            <w:vAlign w:val="center"/>
          </w:tcPr>
          <w:p w:rsidR="00554A9E" w:rsidRDefault="00554A9E">
            <w:pPr>
              <w:spacing w:line="360" w:lineRule="auto"/>
              <w:jc w:val="center"/>
              <w:rPr>
                <w:sz w:val="24"/>
              </w:rPr>
            </w:pPr>
          </w:p>
        </w:tc>
        <w:tc>
          <w:tcPr>
            <w:tcW w:w="2301" w:type="dxa"/>
            <w:vAlign w:val="center"/>
          </w:tcPr>
          <w:p w:rsidR="00554A9E" w:rsidRDefault="00554A9E">
            <w:pPr>
              <w:spacing w:line="360" w:lineRule="auto"/>
              <w:jc w:val="center"/>
              <w:rPr>
                <w:sz w:val="24"/>
              </w:rPr>
            </w:pPr>
          </w:p>
        </w:tc>
      </w:tr>
    </w:tbl>
    <w:p w:rsidR="00554A9E" w:rsidRDefault="00554A9E">
      <w:pPr>
        <w:spacing w:line="360" w:lineRule="auto"/>
        <w:rPr>
          <w:rFonts w:ascii="宋体" w:cs="宋体"/>
          <w:sz w:val="24"/>
          <w:szCs w:val="24"/>
        </w:rPr>
      </w:pPr>
    </w:p>
    <w:p w:rsidR="00554A9E" w:rsidRDefault="00554A9E">
      <w:pPr>
        <w:spacing w:line="360" w:lineRule="auto"/>
        <w:rPr>
          <w:rFonts w:ascii="宋体" w:cs="宋体"/>
          <w:sz w:val="24"/>
          <w:szCs w:val="24"/>
        </w:rPr>
      </w:pPr>
    </w:p>
    <w:p w:rsidR="00554A9E" w:rsidRDefault="00554A9E">
      <w:pPr>
        <w:rPr>
          <w:rFonts w:ascii="宋体" w:cs="宋体"/>
          <w:b/>
          <w:sz w:val="24"/>
          <w:szCs w:val="24"/>
        </w:rPr>
      </w:pPr>
    </w:p>
    <w:sectPr w:rsidR="00554A9E" w:rsidSect="00554A9E">
      <w:pgSz w:w="11906" w:h="16838"/>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632C" w:rsidRDefault="0061632C" w:rsidP="00C13651">
      <w:r>
        <w:separator/>
      </w:r>
    </w:p>
  </w:endnote>
  <w:endnote w:type="continuationSeparator" w:id="0">
    <w:p w:rsidR="0061632C" w:rsidRDefault="0061632C" w:rsidP="00C136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default"/>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632C" w:rsidRDefault="0061632C" w:rsidP="00C13651">
      <w:r>
        <w:separator/>
      </w:r>
    </w:p>
  </w:footnote>
  <w:footnote w:type="continuationSeparator" w:id="0">
    <w:p w:rsidR="0061632C" w:rsidRDefault="0061632C" w:rsidP="00C1365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E60C0"/>
    <w:rsid w:val="000103EA"/>
    <w:rsid w:val="000134E3"/>
    <w:rsid w:val="00014B4C"/>
    <w:rsid w:val="00017643"/>
    <w:rsid w:val="00041686"/>
    <w:rsid w:val="0005402C"/>
    <w:rsid w:val="000578C9"/>
    <w:rsid w:val="0006534A"/>
    <w:rsid w:val="0006728B"/>
    <w:rsid w:val="00072FD9"/>
    <w:rsid w:val="0007428B"/>
    <w:rsid w:val="00075642"/>
    <w:rsid w:val="00077DFE"/>
    <w:rsid w:val="0008477C"/>
    <w:rsid w:val="0009075C"/>
    <w:rsid w:val="00094F8F"/>
    <w:rsid w:val="00097230"/>
    <w:rsid w:val="000D755C"/>
    <w:rsid w:val="000E1256"/>
    <w:rsid w:val="000E2402"/>
    <w:rsid w:val="000E335A"/>
    <w:rsid w:val="000F2157"/>
    <w:rsid w:val="000F53BF"/>
    <w:rsid w:val="0010016B"/>
    <w:rsid w:val="00104F10"/>
    <w:rsid w:val="00106D24"/>
    <w:rsid w:val="00107BB9"/>
    <w:rsid w:val="00116A8B"/>
    <w:rsid w:val="00121485"/>
    <w:rsid w:val="00134DDF"/>
    <w:rsid w:val="0014337E"/>
    <w:rsid w:val="001461DC"/>
    <w:rsid w:val="00153299"/>
    <w:rsid w:val="001544CE"/>
    <w:rsid w:val="0015648B"/>
    <w:rsid w:val="00156E7F"/>
    <w:rsid w:val="00165577"/>
    <w:rsid w:val="001707B0"/>
    <w:rsid w:val="001A7ECD"/>
    <w:rsid w:val="001B18AE"/>
    <w:rsid w:val="001B2714"/>
    <w:rsid w:val="001B3930"/>
    <w:rsid w:val="001D0CC5"/>
    <w:rsid w:val="001E074E"/>
    <w:rsid w:val="001E2A9F"/>
    <w:rsid w:val="002046EB"/>
    <w:rsid w:val="0020570C"/>
    <w:rsid w:val="00211D1B"/>
    <w:rsid w:val="0021267D"/>
    <w:rsid w:val="00244E8D"/>
    <w:rsid w:val="00247AC9"/>
    <w:rsid w:val="00252B38"/>
    <w:rsid w:val="002572BC"/>
    <w:rsid w:val="0026501D"/>
    <w:rsid w:val="00267512"/>
    <w:rsid w:val="00270813"/>
    <w:rsid w:val="0028087C"/>
    <w:rsid w:val="00285CE0"/>
    <w:rsid w:val="00291F10"/>
    <w:rsid w:val="00292C71"/>
    <w:rsid w:val="002957D4"/>
    <w:rsid w:val="0029670F"/>
    <w:rsid w:val="002A006C"/>
    <w:rsid w:val="002A688F"/>
    <w:rsid w:val="002B204F"/>
    <w:rsid w:val="002C5490"/>
    <w:rsid w:val="002C5FF6"/>
    <w:rsid w:val="002D00FA"/>
    <w:rsid w:val="002D6AE0"/>
    <w:rsid w:val="002E19A2"/>
    <w:rsid w:val="002E3CC3"/>
    <w:rsid w:val="002E6933"/>
    <w:rsid w:val="002F207C"/>
    <w:rsid w:val="0030234C"/>
    <w:rsid w:val="00303AA2"/>
    <w:rsid w:val="00307396"/>
    <w:rsid w:val="00321EFB"/>
    <w:rsid w:val="003475C9"/>
    <w:rsid w:val="0035717E"/>
    <w:rsid w:val="00360738"/>
    <w:rsid w:val="003712D3"/>
    <w:rsid w:val="00373D40"/>
    <w:rsid w:val="0037644B"/>
    <w:rsid w:val="00376CBE"/>
    <w:rsid w:val="0039202E"/>
    <w:rsid w:val="003A0D75"/>
    <w:rsid w:val="003C0BC3"/>
    <w:rsid w:val="003D6137"/>
    <w:rsid w:val="003E1F90"/>
    <w:rsid w:val="003E34DE"/>
    <w:rsid w:val="003E48AD"/>
    <w:rsid w:val="003F1B1A"/>
    <w:rsid w:val="003F4F08"/>
    <w:rsid w:val="003F71AB"/>
    <w:rsid w:val="004009E3"/>
    <w:rsid w:val="0040391A"/>
    <w:rsid w:val="00406FE6"/>
    <w:rsid w:val="004103E0"/>
    <w:rsid w:val="00422598"/>
    <w:rsid w:val="00436DE9"/>
    <w:rsid w:val="00444386"/>
    <w:rsid w:val="004578C6"/>
    <w:rsid w:val="004606DB"/>
    <w:rsid w:val="00474EC5"/>
    <w:rsid w:val="004816C7"/>
    <w:rsid w:val="004917F5"/>
    <w:rsid w:val="0049459E"/>
    <w:rsid w:val="004A0C04"/>
    <w:rsid w:val="004A122E"/>
    <w:rsid w:val="004A713A"/>
    <w:rsid w:val="004B6D5E"/>
    <w:rsid w:val="004C042F"/>
    <w:rsid w:val="004E3602"/>
    <w:rsid w:val="004E3765"/>
    <w:rsid w:val="004E4735"/>
    <w:rsid w:val="004E6632"/>
    <w:rsid w:val="00501A41"/>
    <w:rsid w:val="00505ED2"/>
    <w:rsid w:val="00515C2B"/>
    <w:rsid w:val="00517DFC"/>
    <w:rsid w:val="00527E8B"/>
    <w:rsid w:val="00531087"/>
    <w:rsid w:val="00534A10"/>
    <w:rsid w:val="005358E9"/>
    <w:rsid w:val="00551071"/>
    <w:rsid w:val="00554A9E"/>
    <w:rsid w:val="00554F08"/>
    <w:rsid w:val="00577E94"/>
    <w:rsid w:val="0058306B"/>
    <w:rsid w:val="0058572C"/>
    <w:rsid w:val="00592A43"/>
    <w:rsid w:val="00595793"/>
    <w:rsid w:val="005977DA"/>
    <w:rsid w:val="005A7EE5"/>
    <w:rsid w:val="005B1A4C"/>
    <w:rsid w:val="005B434C"/>
    <w:rsid w:val="005B47EB"/>
    <w:rsid w:val="005C77E8"/>
    <w:rsid w:val="005D58A6"/>
    <w:rsid w:val="005D6430"/>
    <w:rsid w:val="005D7E05"/>
    <w:rsid w:val="005E1A45"/>
    <w:rsid w:val="005F7B4D"/>
    <w:rsid w:val="00604207"/>
    <w:rsid w:val="0060505D"/>
    <w:rsid w:val="006145B6"/>
    <w:rsid w:val="0061632C"/>
    <w:rsid w:val="006172F7"/>
    <w:rsid w:val="00623E11"/>
    <w:rsid w:val="00632FBB"/>
    <w:rsid w:val="006337B3"/>
    <w:rsid w:val="006377C8"/>
    <w:rsid w:val="006402F5"/>
    <w:rsid w:val="00643BEA"/>
    <w:rsid w:val="00643D77"/>
    <w:rsid w:val="006523BF"/>
    <w:rsid w:val="00660519"/>
    <w:rsid w:val="00673DF7"/>
    <w:rsid w:val="0067608D"/>
    <w:rsid w:val="006955E5"/>
    <w:rsid w:val="006A21F8"/>
    <w:rsid w:val="006D5065"/>
    <w:rsid w:val="006D5160"/>
    <w:rsid w:val="006E0B88"/>
    <w:rsid w:val="006E2689"/>
    <w:rsid w:val="006E54BD"/>
    <w:rsid w:val="006E6D46"/>
    <w:rsid w:val="006F1E34"/>
    <w:rsid w:val="006F4B84"/>
    <w:rsid w:val="006F4D70"/>
    <w:rsid w:val="006F548F"/>
    <w:rsid w:val="0071517E"/>
    <w:rsid w:val="00723583"/>
    <w:rsid w:val="0074363B"/>
    <w:rsid w:val="00743AA3"/>
    <w:rsid w:val="007443E6"/>
    <w:rsid w:val="007469D2"/>
    <w:rsid w:val="00746F92"/>
    <w:rsid w:val="00750699"/>
    <w:rsid w:val="00750C10"/>
    <w:rsid w:val="00752D6C"/>
    <w:rsid w:val="00766926"/>
    <w:rsid w:val="0077321D"/>
    <w:rsid w:val="00777ABE"/>
    <w:rsid w:val="007860F6"/>
    <w:rsid w:val="00793EAA"/>
    <w:rsid w:val="007A2DC6"/>
    <w:rsid w:val="007A5737"/>
    <w:rsid w:val="007A7645"/>
    <w:rsid w:val="007B52A5"/>
    <w:rsid w:val="007B7340"/>
    <w:rsid w:val="007C73BD"/>
    <w:rsid w:val="007D2A0F"/>
    <w:rsid w:val="007D5A7B"/>
    <w:rsid w:val="007E027B"/>
    <w:rsid w:val="007E60C0"/>
    <w:rsid w:val="007F4141"/>
    <w:rsid w:val="00811503"/>
    <w:rsid w:val="008124D0"/>
    <w:rsid w:val="0082068A"/>
    <w:rsid w:val="008220ED"/>
    <w:rsid w:val="00824DED"/>
    <w:rsid w:val="00826978"/>
    <w:rsid w:val="00846A65"/>
    <w:rsid w:val="00852711"/>
    <w:rsid w:val="008561D2"/>
    <w:rsid w:val="00870016"/>
    <w:rsid w:val="008815CD"/>
    <w:rsid w:val="008904A2"/>
    <w:rsid w:val="008A01F6"/>
    <w:rsid w:val="008A2D4C"/>
    <w:rsid w:val="008A6228"/>
    <w:rsid w:val="008A6C67"/>
    <w:rsid w:val="008A6ED0"/>
    <w:rsid w:val="008B63B8"/>
    <w:rsid w:val="008B6491"/>
    <w:rsid w:val="008C1C46"/>
    <w:rsid w:val="008C5FB3"/>
    <w:rsid w:val="008E0282"/>
    <w:rsid w:val="008E2CCF"/>
    <w:rsid w:val="008F41B5"/>
    <w:rsid w:val="0091059E"/>
    <w:rsid w:val="00915274"/>
    <w:rsid w:val="0092040E"/>
    <w:rsid w:val="00921B9D"/>
    <w:rsid w:val="00922C21"/>
    <w:rsid w:val="00925372"/>
    <w:rsid w:val="00925EDD"/>
    <w:rsid w:val="00940283"/>
    <w:rsid w:val="0095310B"/>
    <w:rsid w:val="009619D3"/>
    <w:rsid w:val="00961CD0"/>
    <w:rsid w:val="00971DFC"/>
    <w:rsid w:val="00977E06"/>
    <w:rsid w:val="00986278"/>
    <w:rsid w:val="00990D24"/>
    <w:rsid w:val="00991366"/>
    <w:rsid w:val="009B3C35"/>
    <w:rsid w:val="009C774E"/>
    <w:rsid w:val="00A02776"/>
    <w:rsid w:val="00A03A1E"/>
    <w:rsid w:val="00A04B94"/>
    <w:rsid w:val="00A06DC8"/>
    <w:rsid w:val="00A2465D"/>
    <w:rsid w:val="00A319CC"/>
    <w:rsid w:val="00A34F39"/>
    <w:rsid w:val="00A364CB"/>
    <w:rsid w:val="00A729F1"/>
    <w:rsid w:val="00A74BA9"/>
    <w:rsid w:val="00A837A7"/>
    <w:rsid w:val="00A90CC3"/>
    <w:rsid w:val="00A9541B"/>
    <w:rsid w:val="00A95ED2"/>
    <w:rsid w:val="00AA0854"/>
    <w:rsid w:val="00AA139F"/>
    <w:rsid w:val="00AC2D11"/>
    <w:rsid w:val="00AD0A1A"/>
    <w:rsid w:val="00AD217C"/>
    <w:rsid w:val="00AD2E21"/>
    <w:rsid w:val="00AE1FEB"/>
    <w:rsid w:val="00AE765E"/>
    <w:rsid w:val="00B10F7B"/>
    <w:rsid w:val="00B11677"/>
    <w:rsid w:val="00B117E0"/>
    <w:rsid w:val="00B11FE2"/>
    <w:rsid w:val="00B22788"/>
    <w:rsid w:val="00B2424E"/>
    <w:rsid w:val="00B2596D"/>
    <w:rsid w:val="00B37557"/>
    <w:rsid w:val="00B42C73"/>
    <w:rsid w:val="00B64B97"/>
    <w:rsid w:val="00B65D8A"/>
    <w:rsid w:val="00B703D9"/>
    <w:rsid w:val="00B720EF"/>
    <w:rsid w:val="00B83584"/>
    <w:rsid w:val="00B9171B"/>
    <w:rsid w:val="00BA2861"/>
    <w:rsid w:val="00BB35F8"/>
    <w:rsid w:val="00BC0B5D"/>
    <w:rsid w:val="00BD10EE"/>
    <w:rsid w:val="00BD5AFF"/>
    <w:rsid w:val="00BE5DE8"/>
    <w:rsid w:val="00BF2061"/>
    <w:rsid w:val="00BF22EF"/>
    <w:rsid w:val="00C00571"/>
    <w:rsid w:val="00C105ED"/>
    <w:rsid w:val="00C13651"/>
    <w:rsid w:val="00C16FC0"/>
    <w:rsid w:val="00C325EA"/>
    <w:rsid w:val="00C42612"/>
    <w:rsid w:val="00C559B7"/>
    <w:rsid w:val="00C56C14"/>
    <w:rsid w:val="00C646F1"/>
    <w:rsid w:val="00C64895"/>
    <w:rsid w:val="00C90DF5"/>
    <w:rsid w:val="00CA7AB7"/>
    <w:rsid w:val="00CC6F06"/>
    <w:rsid w:val="00CD216F"/>
    <w:rsid w:val="00CD3E8F"/>
    <w:rsid w:val="00CD7EDE"/>
    <w:rsid w:val="00CD7F90"/>
    <w:rsid w:val="00CE39F0"/>
    <w:rsid w:val="00CE4FDE"/>
    <w:rsid w:val="00CE5347"/>
    <w:rsid w:val="00CE5DD9"/>
    <w:rsid w:val="00CF3F82"/>
    <w:rsid w:val="00D036F3"/>
    <w:rsid w:val="00D14CF0"/>
    <w:rsid w:val="00D15AC2"/>
    <w:rsid w:val="00D17661"/>
    <w:rsid w:val="00D20FD1"/>
    <w:rsid w:val="00D34E2C"/>
    <w:rsid w:val="00D50B34"/>
    <w:rsid w:val="00D67271"/>
    <w:rsid w:val="00D72169"/>
    <w:rsid w:val="00D724A2"/>
    <w:rsid w:val="00D8002B"/>
    <w:rsid w:val="00D851AB"/>
    <w:rsid w:val="00D85D93"/>
    <w:rsid w:val="00D90B13"/>
    <w:rsid w:val="00D9186A"/>
    <w:rsid w:val="00DB5244"/>
    <w:rsid w:val="00DD3D79"/>
    <w:rsid w:val="00DD6976"/>
    <w:rsid w:val="00DE3022"/>
    <w:rsid w:val="00DE5789"/>
    <w:rsid w:val="00DF08E0"/>
    <w:rsid w:val="00DF3455"/>
    <w:rsid w:val="00DF464A"/>
    <w:rsid w:val="00DF5D05"/>
    <w:rsid w:val="00E012D3"/>
    <w:rsid w:val="00E10978"/>
    <w:rsid w:val="00E22076"/>
    <w:rsid w:val="00E2347F"/>
    <w:rsid w:val="00E35F80"/>
    <w:rsid w:val="00E45113"/>
    <w:rsid w:val="00E45AED"/>
    <w:rsid w:val="00E51098"/>
    <w:rsid w:val="00E5366D"/>
    <w:rsid w:val="00E559DB"/>
    <w:rsid w:val="00E60E86"/>
    <w:rsid w:val="00E626C5"/>
    <w:rsid w:val="00E64C02"/>
    <w:rsid w:val="00E7260C"/>
    <w:rsid w:val="00E7673B"/>
    <w:rsid w:val="00E8331C"/>
    <w:rsid w:val="00EA0F98"/>
    <w:rsid w:val="00EA1FFC"/>
    <w:rsid w:val="00EA4813"/>
    <w:rsid w:val="00EB1C7E"/>
    <w:rsid w:val="00EB5A35"/>
    <w:rsid w:val="00EC37A7"/>
    <w:rsid w:val="00EC5BB6"/>
    <w:rsid w:val="00ED141B"/>
    <w:rsid w:val="00ED2FF6"/>
    <w:rsid w:val="00ED5DB9"/>
    <w:rsid w:val="00EF09A8"/>
    <w:rsid w:val="00F10E36"/>
    <w:rsid w:val="00F15850"/>
    <w:rsid w:val="00F35B45"/>
    <w:rsid w:val="00F466C5"/>
    <w:rsid w:val="00F6451A"/>
    <w:rsid w:val="00F67652"/>
    <w:rsid w:val="00F6788B"/>
    <w:rsid w:val="00F67A5D"/>
    <w:rsid w:val="00F721E3"/>
    <w:rsid w:val="00F72485"/>
    <w:rsid w:val="00F72713"/>
    <w:rsid w:val="00F82D4A"/>
    <w:rsid w:val="00F864C6"/>
    <w:rsid w:val="00FA0C1D"/>
    <w:rsid w:val="00FB413E"/>
    <w:rsid w:val="00FB4989"/>
    <w:rsid w:val="00FC7117"/>
    <w:rsid w:val="00FD17B7"/>
    <w:rsid w:val="00FD6C2A"/>
    <w:rsid w:val="00FE3FD6"/>
    <w:rsid w:val="00FF1D5F"/>
    <w:rsid w:val="00FF763B"/>
    <w:rsid w:val="09E16ED3"/>
    <w:rsid w:val="0A90709F"/>
    <w:rsid w:val="0FD45667"/>
    <w:rsid w:val="1032432A"/>
    <w:rsid w:val="149C18C1"/>
    <w:rsid w:val="159334F6"/>
    <w:rsid w:val="18B72C83"/>
    <w:rsid w:val="24CF1783"/>
    <w:rsid w:val="2B3B391A"/>
    <w:rsid w:val="2ED671A7"/>
    <w:rsid w:val="33B8330B"/>
    <w:rsid w:val="363057F5"/>
    <w:rsid w:val="3EB46659"/>
    <w:rsid w:val="41334D5E"/>
    <w:rsid w:val="41E72F1B"/>
    <w:rsid w:val="43CE05C3"/>
    <w:rsid w:val="49AE5972"/>
    <w:rsid w:val="4B166FE7"/>
    <w:rsid w:val="4B575197"/>
    <w:rsid w:val="4CA123FE"/>
    <w:rsid w:val="4F4C590C"/>
    <w:rsid w:val="50E41CFF"/>
    <w:rsid w:val="5B0926F2"/>
    <w:rsid w:val="62B36103"/>
    <w:rsid w:val="62B91D8F"/>
    <w:rsid w:val="6B515EE4"/>
    <w:rsid w:val="6C1117CA"/>
    <w:rsid w:val="71B92D94"/>
    <w:rsid w:val="7A5F54FB"/>
    <w:rsid w:val="7EFC749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9"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qFormat="1"/>
    <w:lsdException w:name="footer" w:semiHidden="0" w:qFormat="1"/>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4A9E"/>
    <w:pPr>
      <w:widowControl w:val="0"/>
      <w:jc w:val="both"/>
    </w:pPr>
    <w:rPr>
      <w:rFonts w:ascii="Calibri" w:hAnsi="Calibri"/>
      <w:kern w:val="2"/>
      <w:sz w:val="21"/>
      <w:szCs w:val="22"/>
    </w:rPr>
  </w:style>
  <w:style w:type="paragraph" w:styleId="1">
    <w:name w:val="heading 1"/>
    <w:basedOn w:val="a"/>
    <w:next w:val="a"/>
    <w:link w:val="1Char"/>
    <w:uiPriority w:val="9"/>
    <w:qFormat/>
    <w:locked/>
    <w:rsid w:val="00554A9E"/>
    <w:pPr>
      <w:widowControl/>
      <w:spacing w:before="100" w:beforeAutospacing="1" w:after="100" w:afterAutospacing="1"/>
      <w:jc w:val="left"/>
      <w:outlineLvl w:val="0"/>
    </w:pPr>
    <w:rPr>
      <w:rFonts w:ascii="宋体" w:hAnsi="宋体"/>
      <w:b/>
      <w:bCs/>
      <w:kern w:val="36"/>
      <w:sz w:val="48"/>
      <w:szCs w:val="48"/>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554A9E"/>
    <w:pPr>
      <w:tabs>
        <w:tab w:val="center" w:pos="4153"/>
        <w:tab w:val="right" w:pos="8306"/>
      </w:tabs>
      <w:snapToGrid w:val="0"/>
      <w:jc w:val="left"/>
    </w:pPr>
    <w:rPr>
      <w:rFonts w:ascii="Times New Roman" w:hAnsi="Times New Roman"/>
      <w:sz w:val="18"/>
      <w:szCs w:val="18"/>
      <w:lang/>
    </w:rPr>
  </w:style>
  <w:style w:type="paragraph" w:styleId="a4">
    <w:name w:val="header"/>
    <w:basedOn w:val="a"/>
    <w:link w:val="Char0"/>
    <w:uiPriority w:val="99"/>
    <w:unhideWhenUsed/>
    <w:qFormat/>
    <w:rsid w:val="00554A9E"/>
    <w:pPr>
      <w:pBdr>
        <w:bottom w:val="single" w:sz="6" w:space="1" w:color="auto"/>
      </w:pBdr>
      <w:tabs>
        <w:tab w:val="center" w:pos="4153"/>
        <w:tab w:val="right" w:pos="8306"/>
      </w:tabs>
      <w:snapToGrid w:val="0"/>
      <w:jc w:val="center"/>
    </w:pPr>
    <w:rPr>
      <w:rFonts w:ascii="Times New Roman" w:hAnsi="Times New Roman"/>
      <w:sz w:val="18"/>
      <w:szCs w:val="18"/>
      <w:lang/>
    </w:rPr>
  </w:style>
  <w:style w:type="character" w:customStyle="1" w:styleId="Char0">
    <w:name w:val="页眉 Char"/>
    <w:link w:val="a4"/>
    <w:uiPriority w:val="99"/>
    <w:qFormat/>
    <w:rsid w:val="00554A9E"/>
    <w:rPr>
      <w:kern w:val="2"/>
      <w:sz w:val="18"/>
      <w:szCs w:val="18"/>
    </w:rPr>
  </w:style>
  <w:style w:type="character" w:customStyle="1" w:styleId="Char">
    <w:name w:val="页脚 Char"/>
    <w:link w:val="a3"/>
    <w:uiPriority w:val="99"/>
    <w:qFormat/>
    <w:rsid w:val="00554A9E"/>
    <w:rPr>
      <w:kern w:val="2"/>
      <w:sz w:val="18"/>
      <w:szCs w:val="18"/>
    </w:rPr>
  </w:style>
  <w:style w:type="character" w:customStyle="1" w:styleId="1Char">
    <w:name w:val="标题 1 Char"/>
    <w:link w:val="1"/>
    <w:uiPriority w:val="9"/>
    <w:qFormat/>
    <w:rsid w:val="00554A9E"/>
    <w:rPr>
      <w:rFonts w:ascii="宋体" w:hAnsi="宋体" w:cs="宋体"/>
      <w:b/>
      <w:bCs/>
      <w:kern w:val="3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3C09A8-2A91-4177-BD49-60C7ED1AC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167</Words>
  <Characters>953</Characters>
  <Application>Microsoft Office Word</Application>
  <DocSecurity>0</DocSecurity>
  <Lines>7</Lines>
  <Paragraphs>2</Paragraphs>
  <ScaleCrop>false</ScaleCrop>
  <Company>Microsoft</Company>
  <LinksUpToDate>false</LinksUpToDate>
  <CharactersWithSpaces>1118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ZJBL</dc:creator>
  <cp:lastModifiedBy>Administrator</cp:lastModifiedBy>
  <cp:revision>209</cp:revision>
  <cp:lastPrinted>2017-04-12T06:36:00Z</cp:lastPrinted>
  <dcterms:created xsi:type="dcterms:W3CDTF">2016-04-05T07:58:00Z</dcterms:created>
  <dcterms:modified xsi:type="dcterms:W3CDTF">2021-05-10T07:07:00Z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