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华城实验学校运动场改造设计修改意见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设计说明：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足球场、铅球落球区更换人造草坪，原人造草坪、石英砂、塑胶颗粒清除，场地清理、伸缩缝嵌缝处理。底部摊铺10mm厚高密度聚乙烯人造草坪减震垫，宽度≥1.5m；50mm高100%抗老化聚乙烯加筋单丝运动型人造草坪，幅宽4m，草磅重≥12000dtex，草丝密度≥10500针/㎡，行距3/4inch，三层抗老化底布，PU背胶；透水率≥60L/分钟/㎡（无填充物）；耐磨性：3000转磨耗率＜10%，抗紫外线性：6000小时后的拉伸强度保持率＞80%，双色摊铺，标线用同材质的白色人造草坪。充石英砂30KG/㎡，充TPE环保弹性颗粒（高聚物含量≥20%）5KG/㎡，减震垫、人造草坪、TPE弹性颗粒须符合国家标准《中小学合成材料面层运动场地》GB36246-2018、《体育用人造草》GB/T20394-2019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原跑道塑胶面层铲除，原基础场地清理、打磨、嵌缝、封底胶处理，新做不小于13mm厚透气型EPDM塑胶面层，其中10mm厚为粒径1-3mm的EPDM颗粒，高聚物含量≥20%，胶水与颗粒比为1:5.5；3mm厚防滑面层用粒径0.5-mm3的EPDM颗粒（高聚物含量≥20%）与胶水混合喷涂，胶水与颗粒比为1:1，喷涂次数不少于3遍；EPDM颗粒、胶水须符合国家标准《中小学合成材料面层运动场地》GB36246-2018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原篮球场塑胶面层铲除，原基础场地清理、打磨、嵌缝、封底胶处理，新做不小于10mm厚层压式EPDM塑胶面层（场地分色由学校确定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），EPDM颗粒粒径为1-3mm，高聚物含量≥20%，胶水与颗粒比为1:5.5；EPDM颗粒、胶水须符合国家标准《中小学合成材料面层运动场地》GB36246-2018。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所有场地排水沟清理、部分损坏排水沟盖板按原样更换。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跳远沙坑根据需要置换部分黄沙，更换起跳板，黄沙面层覆盖草高3mm的100%抗老化聚乙烯加筋单丝运动型人造草坪，人造草坪须符合国家标准《中小学合成材料面层运动场地》GB36246-2018、《体育用人造草》GB/T20394-2019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所有场地标线须采用环保型运动场地专用划线漆，划线标准需满足最新相关场地标准。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所有场地验收标准按最新相关场地验收标准执行。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场地做法参照说明进行修改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F0DF30"/>
    <w:multiLevelType w:val="singleLevel"/>
    <w:tmpl w:val="D3F0DF3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Mjc3ZDI0YmRmY2ZkMDQwNzExYzdmN2E0MGU0MDQifQ=="/>
  </w:docVars>
  <w:rsids>
    <w:rsidRoot w:val="54E51C5E"/>
    <w:rsid w:val="54E5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2022-05-11T01:15:00Z</dcterms:created>
  <dc:creator>喜庆祥和</dc:creator>
  <cp:lastModifiedBy>喜庆祥和</cp:lastModifiedBy>
  <dcterms:modified xsi:type="dcterms:W3CDTF">2022-05-11T02:17:18Z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F77244C5C08641A59A01F0A76522EC7F</vt:lpwstr>
  </property>
</Properties>
</file>