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cs="宋体" w:asciiTheme="minorEastAsia" w:hAnsiTheme="minorEastAsia"/>
          <w:sz w:val="24"/>
          <w:lang w:eastAsia="zh-CN"/>
        </w:rPr>
      </w:pPr>
      <w:r>
        <w:rPr>
          <w:rFonts w:hint="eastAsia" w:ascii="黑体" w:hAnsi="黑体" w:eastAsia="黑体" w:cs="黑体"/>
          <w:b/>
          <w:bCs/>
          <w:sz w:val="32"/>
          <w:szCs w:val="32"/>
          <w:lang w:val="en-US" w:eastAsia="zh-CN"/>
        </w:rPr>
        <w:t>直溪初级中学食堂操作间及师生餐厅改造项目</w:t>
      </w:r>
      <w:r>
        <w:rPr>
          <w:rFonts w:hint="eastAsia" w:ascii="黑体" w:hAnsi="黑体" w:eastAsia="黑体" w:cs="黑体"/>
          <w:b/>
          <w:bCs/>
          <w:sz w:val="32"/>
          <w:szCs w:val="32"/>
        </w:rPr>
        <w:t>编制说明</w:t>
      </w:r>
    </w:p>
    <w:p>
      <w:pPr>
        <w:tabs>
          <w:tab w:val="left" w:pos="0"/>
          <w:tab w:val="left" w:pos="540"/>
        </w:tabs>
        <w:spacing w:line="360" w:lineRule="auto"/>
        <w:rPr>
          <w:rFonts w:cs="宋体" w:asciiTheme="minorEastAsia" w:hAnsiTheme="minorEastAsia"/>
          <w:b/>
          <w:sz w:val="24"/>
        </w:rPr>
      </w:pPr>
      <w:r>
        <w:rPr>
          <w:rFonts w:hint="eastAsia" w:cs="宋体" w:asciiTheme="minorEastAsia" w:hAnsiTheme="minorEastAsia"/>
          <w:b/>
          <w:sz w:val="24"/>
          <w:lang w:val="en-US" w:eastAsia="zh-CN"/>
        </w:rPr>
        <w:t>一</w:t>
      </w:r>
      <w:r>
        <w:rPr>
          <w:rFonts w:hint="eastAsia" w:cs="宋体" w:asciiTheme="minorEastAsia" w:hAnsiTheme="minorEastAsia"/>
          <w:b/>
          <w:sz w:val="24"/>
        </w:rPr>
        <w:t>、编制依据</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cs="宋体" w:asciiTheme="minorEastAsia" w:hAnsiTheme="minorEastAsia"/>
          <w:color w:val="000000" w:themeColor="text1"/>
          <w:sz w:val="24"/>
        </w:rPr>
      </w:pPr>
      <w:r>
        <w:rPr>
          <w:rFonts w:hint="eastAsia" w:cs="宋体" w:asciiTheme="minorEastAsia" w:hAnsiTheme="minorEastAsia"/>
          <w:color w:val="000000" w:themeColor="text1"/>
          <w:sz w:val="24"/>
        </w:rPr>
        <w:t>1、《建设工程工程量清单计价规范》GB50500-2013；</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cs="宋体" w:asciiTheme="minorEastAsia" w:hAnsiTheme="minorEastAsia"/>
          <w:color w:val="000000" w:themeColor="text1"/>
          <w:sz w:val="24"/>
        </w:rPr>
      </w:pPr>
      <w:r>
        <w:rPr>
          <w:rFonts w:hint="eastAsia" w:cs="宋体" w:asciiTheme="minorEastAsia" w:hAnsiTheme="minorEastAsia"/>
          <w:color w:val="000000" w:themeColor="text1"/>
          <w:sz w:val="24"/>
        </w:rPr>
        <w:t>2、《江苏省建筑与装饰工程计价定额》2014版；</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cs="宋体" w:asciiTheme="minorEastAsia" w:hAnsiTheme="minorEastAsia"/>
          <w:color w:val="000000" w:themeColor="text1"/>
          <w:sz w:val="24"/>
        </w:rPr>
      </w:pPr>
      <w:r>
        <w:rPr>
          <w:rFonts w:hint="eastAsia" w:cs="宋体" w:asciiTheme="minorEastAsia" w:hAnsiTheme="minorEastAsia"/>
          <w:color w:val="000000" w:themeColor="text1"/>
          <w:sz w:val="24"/>
        </w:rPr>
        <w:t>3、《江苏省安装工程计价定额》2014版；</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cs="宋体" w:asciiTheme="minorEastAsia" w:hAnsiTheme="minorEastAsia"/>
          <w:color w:val="000000" w:themeColor="text1"/>
          <w:sz w:val="24"/>
        </w:rPr>
      </w:pPr>
      <w:r>
        <w:rPr>
          <w:rFonts w:hint="eastAsia" w:cs="宋体" w:asciiTheme="minorEastAsia" w:hAnsiTheme="minorEastAsia"/>
          <w:color w:val="000000" w:themeColor="text1"/>
          <w:sz w:val="24"/>
        </w:rPr>
        <w:t>4、《江苏省2014机械台班定额》；</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cs="宋体" w:asciiTheme="minorEastAsia" w:hAnsiTheme="minorEastAsia"/>
          <w:color w:val="000000" w:themeColor="text1"/>
          <w:sz w:val="24"/>
        </w:rPr>
      </w:pPr>
      <w:r>
        <w:rPr>
          <w:rFonts w:hint="eastAsia" w:cs="宋体" w:asciiTheme="minorEastAsia" w:hAnsiTheme="minorEastAsia"/>
          <w:color w:val="000000" w:themeColor="text1"/>
          <w:sz w:val="24"/>
        </w:rPr>
        <w:t>5、《房屋建筑与装饰工程工程量计算规范》GB50854-2013；</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cs="宋体" w:asciiTheme="minorEastAsia" w:hAnsiTheme="minorEastAsia"/>
          <w:color w:val="000000" w:themeColor="text1"/>
          <w:sz w:val="24"/>
        </w:rPr>
      </w:pPr>
      <w:r>
        <w:rPr>
          <w:rFonts w:hint="eastAsia" w:cs="宋体" w:asciiTheme="minorEastAsia" w:hAnsiTheme="minorEastAsia"/>
          <w:color w:val="000000" w:themeColor="text1"/>
          <w:sz w:val="24"/>
        </w:rPr>
        <w:t>6、《通用安装工程工程量计算规范》GB50856-2013；</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cs="宋体" w:asciiTheme="minorEastAsia" w:hAnsiTheme="minorEastAsia"/>
          <w:color w:val="000000" w:themeColor="text1"/>
          <w:sz w:val="24"/>
        </w:rPr>
      </w:pPr>
      <w:r>
        <w:rPr>
          <w:rFonts w:hint="eastAsia" w:cs="宋体" w:asciiTheme="minorEastAsia" w:hAnsiTheme="minorEastAsia"/>
          <w:color w:val="000000" w:themeColor="text1"/>
          <w:sz w:val="24"/>
        </w:rPr>
        <w:t>7、《市政工程工程量计算规范》（GB50857-2013）；</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cs="宋体" w:asciiTheme="minorEastAsia" w:hAnsiTheme="minorEastAsia"/>
          <w:color w:val="000000" w:themeColor="text1"/>
          <w:sz w:val="24"/>
        </w:rPr>
      </w:pPr>
      <w:r>
        <w:rPr>
          <w:rFonts w:hint="eastAsia" w:cs="宋体" w:asciiTheme="minorEastAsia" w:hAnsiTheme="minorEastAsia"/>
          <w:color w:val="000000" w:themeColor="text1"/>
          <w:sz w:val="24"/>
        </w:rPr>
        <w:t>8、《江苏省市政工程计价定额》（2014年）；</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cs="宋体" w:asciiTheme="minorEastAsia" w:hAnsiTheme="minorEastAsia"/>
          <w:color w:val="000000" w:themeColor="text1"/>
          <w:sz w:val="24"/>
        </w:rPr>
      </w:pPr>
      <w:r>
        <w:rPr>
          <w:rFonts w:hint="eastAsia" w:cs="宋体" w:asciiTheme="minorEastAsia" w:hAnsiTheme="minorEastAsia"/>
          <w:color w:val="000000" w:themeColor="text1"/>
          <w:sz w:val="24"/>
        </w:rPr>
        <w:t>9、《园林绿化工程工程量计算规范》（GB50858-2013）；</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cs="宋体" w:asciiTheme="minorEastAsia" w:hAnsiTheme="minorEastAsia"/>
          <w:color w:val="000000" w:themeColor="text1"/>
          <w:sz w:val="24"/>
        </w:rPr>
      </w:pPr>
      <w:r>
        <w:rPr>
          <w:rFonts w:hint="eastAsia" w:cs="宋体" w:asciiTheme="minorEastAsia" w:hAnsiTheme="minorEastAsia"/>
          <w:color w:val="000000" w:themeColor="text1"/>
          <w:sz w:val="24"/>
        </w:rPr>
        <w:t>1</w:t>
      </w:r>
      <w:r>
        <w:rPr>
          <w:rFonts w:cs="宋体" w:asciiTheme="minorEastAsia" w:hAnsiTheme="minorEastAsia"/>
          <w:color w:val="000000" w:themeColor="text1"/>
          <w:sz w:val="24"/>
        </w:rPr>
        <w:t>0</w:t>
      </w:r>
      <w:r>
        <w:rPr>
          <w:rFonts w:hint="eastAsia" w:cs="宋体" w:asciiTheme="minorEastAsia" w:hAnsiTheme="minorEastAsia"/>
          <w:color w:val="000000" w:themeColor="text1"/>
          <w:sz w:val="24"/>
        </w:rPr>
        <w:t>、《江苏省仿古建筑与园林工程计价表》（2007江苏省园林定额）；</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cs="宋体" w:asciiTheme="minorEastAsia" w:hAnsiTheme="minorEastAsia"/>
          <w:color w:val="000000" w:themeColor="text1"/>
          <w:sz w:val="24"/>
        </w:rPr>
      </w:pPr>
      <w:r>
        <w:rPr>
          <w:rFonts w:cs="宋体" w:asciiTheme="minorEastAsia" w:hAnsiTheme="minorEastAsia"/>
          <w:color w:val="000000" w:themeColor="text1"/>
          <w:sz w:val="24"/>
        </w:rPr>
        <w:t>11</w:t>
      </w:r>
      <w:r>
        <w:rPr>
          <w:rFonts w:hint="eastAsia" w:cs="宋体" w:asciiTheme="minorEastAsia" w:hAnsiTheme="minorEastAsia"/>
          <w:color w:val="000000" w:themeColor="text1"/>
          <w:sz w:val="24"/>
        </w:rPr>
        <w:t>、《江苏省建设工程费用定额》（</w:t>
      </w:r>
      <w:r>
        <w:rPr>
          <w:rFonts w:cs="宋体" w:asciiTheme="minorEastAsia" w:hAnsiTheme="minorEastAsia"/>
          <w:color w:val="000000" w:themeColor="text1"/>
          <w:sz w:val="24"/>
        </w:rPr>
        <w:t>20</w:t>
      </w:r>
      <w:r>
        <w:rPr>
          <w:rFonts w:hint="eastAsia" w:cs="宋体" w:asciiTheme="minorEastAsia" w:hAnsiTheme="minorEastAsia"/>
          <w:color w:val="000000" w:themeColor="text1"/>
          <w:sz w:val="24"/>
        </w:rPr>
        <w:t>14版)；</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cs="宋体" w:asciiTheme="minorEastAsia" w:hAnsiTheme="minorEastAsia"/>
          <w:color w:val="000000" w:themeColor="text1"/>
          <w:sz w:val="24"/>
        </w:rPr>
      </w:pPr>
      <w:r>
        <w:rPr>
          <w:rFonts w:cs="宋体" w:asciiTheme="minorEastAsia" w:hAnsiTheme="minorEastAsia"/>
          <w:color w:val="000000" w:themeColor="text1"/>
          <w:sz w:val="24"/>
        </w:rPr>
        <w:t>12</w:t>
      </w:r>
      <w:r>
        <w:rPr>
          <w:rFonts w:hint="eastAsia" w:cs="宋体" w:asciiTheme="minorEastAsia" w:hAnsiTheme="minorEastAsia"/>
          <w:color w:val="000000" w:themeColor="text1"/>
          <w:sz w:val="24"/>
        </w:rPr>
        <w:t>、苏建价[2014]448号、苏建价〔2016〕154号、常建〔2016〕94号、常建(2014)279号、常建2017（103）、常建[2018]26号、苏建函价[2019]178号文、常建[2019]1号文等现行计价文件及规定；</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cs="宋体" w:asciiTheme="minorEastAsia" w:hAnsiTheme="minorEastAsia"/>
          <w:color w:val="000000" w:themeColor="text1"/>
          <w:sz w:val="24"/>
        </w:rPr>
      </w:pPr>
      <w:r>
        <w:rPr>
          <w:rFonts w:cs="宋体" w:asciiTheme="minorEastAsia" w:hAnsiTheme="minorEastAsia"/>
          <w:color w:val="000000" w:themeColor="text1"/>
          <w:sz w:val="24"/>
        </w:rPr>
        <w:t>13</w:t>
      </w:r>
      <w:r>
        <w:rPr>
          <w:rFonts w:hint="eastAsia" w:cs="宋体" w:asciiTheme="minorEastAsia" w:hAnsiTheme="minorEastAsia"/>
          <w:color w:val="000000" w:themeColor="text1"/>
          <w:sz w:val="24"/>
        </w:rPr>
        <w:t>、委托方提供的设计图纸、审图回复意见及图纸问题回复汇总</w:t>
      </w:r>
      <w:r>
        <w:rPr>
          <w:rFonts w:hint="eastAsia" w:cs="宋体" w:asciiTheme="minorEastAsia" w:hAnsiTheme="minorEastAsia"/>
          <w:color w:val="000000" w:themeColor="text1"/>
          <w:sz w:val="24"/>
          <w:lang w:val="en-US" w:eastAsia="zh-CN"/>
        </w:rPr>
        <w:t>等文件</w:t>
      </w:r>
      <w:r>
        <w:rPr>
          <w:rFonts w:hint="eastAsia" w:cs="宋体" w:asciiTheme="minorEastAsia" w:hAnsiTheme="minorEastAsia"/>
          <w:color w:val="000000" w:themeColor="text1"/>
          <w:sz w:val="24"/>
        </w:rPr>
        <w:t>；</w:t>
      </w:r>
    </w:p>
    <w:p>
      <w:pPr>
        <w:tabs>
          <w:tab w:val="left" w:pos="0"/>
          <w:tab w:val="left" w:pos="540"/>
        </w:tabs>
        <w:spacing w:line="360" w:lineRule="auto"/>
        <w:rPr>
          <w:rFonts w:cs="宋体" w:asciiTheme="minorEastAsia" w:hAnsiTheme="minorEastAsia"/>
          <w:b/>
          <w:sz w:val="24"/>
        </w:rPr>
      </w:pPr>
      <w:r>
        <w:rPr>
          <w:rFonts w:hint="eastAsia" w:cs="宋体" w:asciiTheme="minorEastAsia" w:hAnsiTheme="minorEastAsia"/>
          <w:b/>
          <w:sz w:val="24"/>
          <w:lang w:val="en-US" w:eastAsia="zh-CN"/>
        </w:rPr>
        <w:t>二</w:t>
      </w:r>
      <w:r>
        <w:rPr>
          <w:rFonts w:hint="eastAsia" w:cs="宋体" w:asciiTheme="minorEastAsia" w:hAnsiTheme="minorEastAsia"/>
          <w:b/>
          <w:sz w:val="24"/>
        </w:rPr>
        <w:t>、编制范围</w:t>
      </w:r>
    </w:p>
    <w:p>
      <w:pPr>
        <w:spacing w:line="360" w:lineRule="auto"/>
        <w:ind w:firstLine="480" w:firstLineChars="200"/>
        <w:rPr>
          <w:rFonts w:asciiTheme="minorEastAsia" w:hAnsiTheme="minorEastAsia"/>
          <w:sz w:val="24"/>
        </w:rPr>
      </w:pPr>
      <w:r>
        <w:rPr>
          <w:rFonts w:hint="eastAsia" w:asciiTheme="minorEastAsia" w:hAnsiTheme="minorEastAsia"/>
          <w:sz w:val="24"/>
        </w:rPr>
        <w:t>工程量清单及施工图范围内的全部工程。</w:t>
      </w:r>
    </w:p>
    <w:p>
      <w:pPr>
        <w:tabs>
          <w:tab w:val="left" w:pos="0"/>
          <w:tab w:val="left" w:pos="540"/>
        </w:tabs>
        <w:spacing w:line="360" w:lineRule="auto"/>
        <w:rPr>
          <w:rFonts w:cs="宋体" w:asciiTheme="minorEastAsia" w:hAnsiTheme="minorEastAsia"/>
          <w:b/>
          <w:sz w:val="24"/>
        </w:rPr>
      </w:pPr>
      <w:r>
        <w:rPr>
          <w:rFonts w:hint="eastAsia" w:cs="宋体" w:asciiTheme="minorEastAsia" w:hAnsiTheme="minorEastAsia"/>
          <w:b/>
          <w:sz w:val="24"/>
          <w:lang w:val="en-US" w:eastAsia="zh-CN"/>
        </w:rPr>
        <w:t>三</w:t>
      </w:r>
      <w:r>
        <w:rPr>
          <w:rFonts w:hint="eastAsia" w:cs="宋体" w:asciiTheme="minorEastAsia" w:hAnsiTheme="minorEastAsia"/>
          <w:b/>
          <w:sz w:val="24"/>
        </w:rPr>
        <w:t>、编制说明</w:t>
      </w:r>
    </w:p>
    <w:p>
      <w:pPr>
        <w:tabs>
          <w:tab w:val="left" w:pos="0"/>
          <w:tab w:val="left" w:pos="540"/>
        </w:tabs>
        <w:spacing w:line="360" w:lineRule="auto"/>
        <w:rPr>
          <w:rFonts w:cs="宋体" w:asciiTheme="minorEastAsia" w:hAnsiTheme="minorEastAsia"/>
          <w:b/>
          <w:sz w:val="24"/>
        </w:rPr>
      </w:pPr>
      <w:r>
        <w:rPr>
          <w:rFonts w:hint="eastAsia" w:asciiTheme="minorEastAsia" w:hAnsiTheme="minorEastAsia"/>
          <w:b/>
          <w:bCs/>
          <w:sz w:val="24"/>
        </w:rPr>
        <w:t>（一）、通用编制说明</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cs="宋体" w:asciiTheme="minorEastAsia" w:hAnsiTheme="minorEastAsia"/>
          <w:sz w:val="24"/>
        </w:rPr>
      </w:pPr>
      <w:r>
        <w:rPr>
          <w:rFonts w:hint="eastAsia" w:cs="宋体" w:asciiTheme="minorEastAsia" w:hAnsiTheme="minorEastAsia"/>
          <w:color w:val="000000" w:themeColor="text1"/>
          <w:sz w:val="24"/>
        </w:rPr>
        <w:t>1.工程类别：</w:t>
      </w:r>
      <w:r>
        <w:rPr>
          <w:rFonts w:hint="eastAsia" w:cs="宋体" w:asciiTheme="minorEastAsia" w:hAnsiTheme="minorEastAsia"/>
          <w:sz w:val="24"/>
          <w:lang w:val="en-US" w:eastAsia="zh-CN"/>
        </w:rPr>
        <w:t>本工程按修缮</w:t>
      </w:r>
      <w:r>
        <w:rPr>
          <w:rFonts w:hint="eastAsia" w:cs="宋体" w:asciiTheme="minorEastAsia" w:hAnsiTheme="minorEastAsia"/>
          <w:sz w:val="24"/>
        </w:rPr>
        <w:t>工程取费；</w:t>
      </w:r>
      <w:r>
        <w:rPr>
          <w:rFonts w:cs="宋体" w:asciiTheme="minorEastAsia" w:hAnsiTheme="minorEastAsia"/>
          <w:sz w:val="24"/>
        </w:rPr>
        <w:t xml:space="preserve"> </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cs="宋体" w:asciiTheme="minorEastAsia" w:hAnsiTheme="minorEastAsia"/>
          <w:color w:val="000000" w:themeColor="text1"/>
          <w:sz w:val="24"/>
        </w:rPr>
      </w:pPr>
      <w:r>
        <w:rPr>
          <w:rFonts w:hint="eastAsia" w:cs="宋体" w:asciiTheme="minorEastAsia" w:hAnsiTheme="minorEastAsia"/>
          <w:color w:val="000000" w:themeColor="text1"/>
          <w:sz w:val="24"/>
        </w:rPr>
        <w:t>2.</w:t>
      </w:r>
      <w:r>
        <w:rPr>
          <w:rFonts w:hint="eastAsia" w:cs="宋体" w:asciiTheme="minorEastAsia" w:hAnsiTheme="minorEastAsia"/>
          <w:color w:val="auto"/>
          <w:sz w:val="24"/>
        </w:rPr>
        <w:t>人工工资按苏建函价[202</w:t>
      </w:r>
      <w:r>
        <w:rPr>
          <w:rFonts w:hint="eastAsia" w:cs="宋体" w:asciiTheme="minorEastAsia" w:hAnsiTheme="minorEastAsia"/>
          <w:color w:val="auto"/>
          <w:sz w:val="24"/>
          <w:lang w:val="en-US" w:eastAsia="zh-CN"/>
        </w:rPr>
        <w:t>2</w:t>
      </w:r>
      <w:r>
        <w:rPr>
          <w:rFonts w:hint="eastAsia" w:cs="宋体" w:asciiTheme="minorEastAsia" w:hAnsiTheme="minorEastAsia"/>
          <w:color w:val="auto"/>
          <w:sz w:val="24"/>
        </w:rPr>
        <w:t>]</w:t>
      </w:r>
      <w:r>
        <w:rPr>
          <w:rFonts w:hint="eastAsia" w:cs="宋体" w:asciiTheme="minorEastAsia" w:hAnsiTheme="minorEastAsia"/>
          <w:color w:val="auto"/>
          <w:sz w:val="24"/>
          <w:lang w:val="en-US" w:eastAsia="zh-CN"/>
        </w:rPr>
        <w:t>62</w:t>
      </w:r>
      <w:r>
        <w:rPr>
          <w:rFonts w:hint="eastAsia" w:cs="宋体" w:asciiTheme="minorEastAsia" w:hAnsiTheme="minorEastAsia"/>
          <w:color w:val="auto"/>
          <w:sz w:val="24"/>
        </w:rPr>
        <w:t>号文计取。</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cs="宋体" w:asciiTheme="minorEastAsia" w:hAnsiTheme="minorEastAsia"/>
          <w:color w:val="000000" w:themeColor="text1"/>
          <w:sz w:val="24"/>
        </w:rPr>
      </w:pPr>
      <w:r>
        <w:rPr>
          <w:rFonts w:hint="eastAsia" w:cs="宋体" w:asciiTheme="minorEastAsia" w:hAnsiTheme="minorEastAsia"/>
          <w:color w:val="000000" w:themeColor="text1"/>
          <w:sz w:val="24"/>
        </w:rPr>
        <w:t>3.材料价格：执行202</w:t>
      </w:r>
      <w:r>
        <w:rPr>
          <w:rFonts w:hint="eastAsia" w:cs="宋体" w:asciiTheme="minorEastAsia" w:hAnsiTheme="minorEastAsia"/>
          <w:color w:val="000000" w:themeColor="text1"/>
          <w:sz w:val="24"/>
          <w:lang w:val="en-US" w:eastAsia="zh-CN"/>
        </w:rPr>
        <w:t>2</w:t>
      </w:r>
      <w:r>
        <w:rPr>
          <w:rFonts w:hint="eastAsia" w:cs="宋体" w:asciiTheme="minorEastAsia" w:hAnsiTheme="minorEastAsia"/>
          <w:color w:val="000000" w:themeColor="text1"/>
          <w:sz w:val="24"/>
        </w:rPr>
        <w:t>年</w:t>
      </w:r>
      <w:r>
        <w:rPr>
          <w:rFonts w:hint="eastAsia" w:cs="宋体" w:asciiTheme="minorEastAsia" w:hAnsiTheme="minorEastAsia"/>
          <w:color w:val="000000" w:themeColor="text1"/>
          <w:sz w:val="24"/>
          <w:lang w:val="en-US" w:eastAsia="zh-CN"/>
        </w:rPr>
        <w:t>5</w:t>
      </w:r>
      <w:r>
        <w:rPr>
          <w:rFonts w:hint="eastAsia" w:cs="宋体" w:asciiTheme="minorEastAsia" w:hAnsiTheme="minorEastAsia"/>
          <w:color w:val="000000" w:themeColor="text1"/>
          <w:sz w:val="24"/>
        </w:rPr>
        <w:t>月《常州工程造价信息》中的建筑(或安装)材料除税价，本月未提供的逐月前推，信息价无提供价格的按市场价询价计入。</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cs="宋体" w:asciiTheme="minorEastAsia" w:hAnsiTheme="minorEastAsia"/>
          <w:color w:val="000000" w:themeColor="text1"/>
          <w:sz w:val="24"/>
        </w:rPr>
      </w:pPr>
      <w:r>
        <w:rPr>
          <w:rFonts w:hint="eastAsia" w:cs="宋体" w:asciiTheme="minorEastAsia" w:hAnsiTheme="minorEastAsia"/>
          <w:color w:val="000000" w:themeColor="text1"/>
          <w:sz w:val="24"/>
        </w:rPr>
        <w:t>4.凡本清单内容中明确的，按清单的要求编制投标报价；本清单未作说明的，按上述规范、文件和要求编制投标报价。</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cs="宋体" w:asciiTheme="minorEastAsia" w:hAnsiTheme="minorEastAsia"/>
          <w:color w:val="000000" w:themeColor="text1"/>
          <w:sz w:val="24"/>
        </w:rPr>
      </w:pPr>
      <w:r>
        <w:rPr>
          <w:rFonts w:hint="eastAsia" w:cs="宋体" w:asciiTheme="minorEastAsia" w:hAnsiTheme="minorEastAsia"/>
          <w:color w:val="000000" w:themeColor="text1"/>
          <w:sz w:val="24"/>
        </w:rPr>
        <w:t>5.</w:t>
      </w:r>
      <w:r>
        <w:rPr>
          <w:rFonts w:cs="宋体" w:asciiTheme="minorEastAsia" w:hAnsiTheme="minorEastAsia"/>
          <w:color w:val="000000" w:themeColor="text1"/>
          <w:sz w:val="24"/>
        </w:rPr>
        <w:t>金额（价格）均应以人民币表示</w:t>
      </w:r>
      <w:r>
        <w:rPr>
          <w:rFonts w:hint="eastAsia" w:cs="宋体" w:asciiTheme="minorEastAsia" w:hAnsiTheme="minorEastAsia"/>
          <w:color w:val="000000" w:themeColor="text1"/>
          <w:sz w:val="24"/>
        </w:rPr>
        <w:t>。</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cs="宋体" w:asciiTheme="minorEastAsia" w:hAnsiTheme="minorEastAsia"/>
          <w:color w:val="000000" w:themeColor="text1"/>
          <w:sz w:val="24"/>
        </w:rPr>
      </w:pPr>
      <w:r>
        <w:rPr>
          <w:rFonts w:hint="eastAsia" w:cs="宋体" w:asciiTheme="minorEastAsia" w:hAnsiTheme="minorEastAsia"/>
          <w:color w:val="000000" w:themeColor="text1"/>
          <w:sz w:val="24"/>
        </w:rPr>
        <w:t>6.</w:t>
      </w:r>
      <w:r>
        <w:rPr>
          <w:rFonts w:cs="宋体" w:asciiTheme="minorEastAsia" w:hAnsiTheme="minorEastAsia"/>
          <w:color w:val="000000" w:themeColor="text1"/>
          <w:sz w:val="24"/>
        </w:rPr>
        <w:t>工程量清单及其计价格式中的任何内容不得随意删除或涂改</w:t>
      </w:r>
      <w:r>
        <w:rPr>
          <w:rFonts w:hint="eastAsia" w:cs="宋体" w:asciiTheme="minorEastAsia" w:hAnsiTheme="minorEastAsia"/>
          <w:color w:val="000000" w:themeColor="text1"/>
          <w:sz w:val="24"/>
        </w:rPr>
        <w:t>。</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cs="宋体" w:asciiTheme="minorEastAsia" w:hAnsiTheme="minorEastAsia"/>
          <w:color w:val="000000" w:themeColor="text1"/>
          <w:sz w:val="24"/>
        </w:rPr>
      </w:pPr>
      <w:r>
        <w:rPr>
          <w:rFonts w:hint="eastAsia" w:cs="宋体" w:asciiTheme="minorEastAsia" w:hAnsiTheme="minorEastAsia"/>
          <w:color w:val="000000" w:themeColor="text1"/>
          <w:sz w:val="24"/>
        </w:rPr>
        <w:t>7.</w:t>
      </w:r>
      <w:r>
        <w:rPr>
          <w:rFonts w:cs="宋体" w:asciiTheme="minorEastAsia" w:hAnsiTheme="minorEastAsia"/>
          <w:color w:val="000000" w:themeColor="text1"/>
          <w:sz w:val="24"/>
        </w:rPr>
        <w:t>工程量清单计价格式中列明的所有需要填报的单价和合价，投标人均应填报，未填报的单价和合价，视为此项费用已包含在工程量清单的其他单价和合价中</w:t>
      </w:r>
      <w:r>
        <w:rPr>
          <w:rFonts w:hint="eastAsia" w:cs="宋体" w:asciiTheme="minorEastAsia" w:hAnsiTheme="minorEastAsia"/>
          <w:color w:val="000000" w:themeColor="text1"/>
          <w:sz w:val="24"/>
        </w:rPr>
        <w:t>。</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cs="宋体" w:asciiTheme="minorEastAsia" w:hAnsiTheme="minorEastAsia"/>
          <w:color w:val="000000" w:themeColor="text1"/>
          <w:sz w:val="24"/>
          <w:highlight w:val="none"/>
        </w:rPr>
      </w:pPr>
      <w:r>
        <w:rPr>
          <w:rFonts w:hint="eastAsia" w:cs="宋体" w:asciiTheme="minorEastAsia" w:hAnsiTheme="minorEastAsia"/>
          <w:color w:val="000000" w:themeColor="text1"/>
          <w:sz w:val="24"/>
          <w:lang w:val="en-US" w:eastAsia="zh-CN"/>
        </w:rPr>
        <w:t>8</w:t>
      </w:r>
      <w:r>
        <w:rPr>
          <w:rFonts w:hint="eastAsia" w:cs="宋体" w:asciiTheme="minorEastAsia" w:hAnsiTheme="minorEastAsia"/>
          <w:color w:val="000000" w:themeColor="text1"/>
          <w:sz w:val="24"/>
        </w:rPr>
        <w:t>.措施项目清单中的现场安全文明施工费为不可竞争费，</w:t>
      </w:r>
      <w:r>
        <w:rPr>
          <w:rFonts w:hint="eastAsia" w:cs="宋体" w:asciiTheme="minorEastAsia" w:hAnsiTheme="minorEastAsia"/>
          <w:color w:val="000000" w:themeColor="text1"/>
          <w:sz w:val="24"/>
          <w:highlight w:val="none"/>
        </w:rPr>
        <w:t>含基本费、扬尘污染防治增加费，投标报价时按清单表中的费率计取不得调整。</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cs="宋体" w:asciiTheme="minorEastAsia" w:hAnsiTheme="minorEastAsia"/>
          <w:color w:val="000000" w:themeColor="text1"/>
          <w:sz w:val="24"/>
        </w:rPr>
      </w:pPr>
      <w:r>
        <w:rPr>
          <w:rFonts w:hint="eastAsia" w:cs="宋体" w:asciiTheme="minorEastAsia" w:hAnsiTheme="minorEastAsia"/>
          <w:color w:val="000000" w:themeColor="text1"/>
          <w:sz w:val="24"/>
          <w:lang w:val="en-US" w:eastAsia="zh-CN"/>
        </w:rPr>
        <w:t>9</w:t>
      </w:r>
      <w:r>
        <w:rPr>
          <w:rFonts w:hint="eastAsia" w:cs="宋体" w:asciiTheme="minorEastAsia" w:hAnsiTheme="minorEastAsia"/>
          <w:color w:val="000000" w:themeColor="text1"/>
          <w:sz w:val="24"/>
        </w:rPr>
        <w:t>.根据项目特点，本工程在单位工程的其他项目清单中设置了暂列金额项目，为不可竞争费，投标报价时不得调整。</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cs="宋体" w:asciiTheme="minorEastAsia" w:hAnsiTheme="minorEastAsia"/>
          <w:color w:val="000000" w:themeColor="text1"/>
          <w:sz w:val="24"/>
        </w:rPr>
      </w:pPr>
      <w:r>
        <w:rPr>
          <w:rFonts w:hint="eastAsia" w:cs="宋体" w:asciiTheme="minorEastAsia" w:hAnsiTheme="minorEastAsia"/>
          <w:color w:val="000000" w:themeColor="text1"/>
          <w:sz w:val="24"/>
        </w:rPr>
        <w:t>1</w:t>
      </w:r>
      <w:r>
        <w:rPr>
          <w:rFonts w:hint="eastAsia" w:cs="宋体" w:asciiTheme="minorEastAsia" w:hAnsiTheme="minorEastAsia"/>
          <w:color w:val="000000" w:themeColor="text1"/>
          <w:sz w:val="24"/>
          <w:lang w:val="en-US" w:eastAsia="zh-CN"/>
        </w:rPr>
        <w:t>0</w:t>
      </w:r>
      <w:r>
        <w:rPr>
          <w:rFonts w:hint="eastAsia" w:cs="宋体" w:asciiTheme="minorEastAsia" w:hAnsiTheme="minorEastAsia"/>
          <w:color w:val="000000" w:themeColor="text1"/>
          <w:sz w:val="24"/>
        </w:rPr>
        <w:t>.规费、税金项目清单中所列费用的费率均为不可竞争费率，投标报价时不得调整。</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cs="宋体" w:asciiTheme="minorEastAsia" w:hAnsiTheme="minorEastAsia"/>
          <w:color w:val="000000" w:themeColor="text1"/>
          <w:sz w:val="24"/>
        </w:rPr>
      </w:pPr>
      <w:r>
        <w:rPr>
          <w:rFonts w:hint="eastAsia" w:cs="宋体" w:asciiTheme="minorEastAsia" w:hAnsiTheme="minorEastAsia"/>
          <w:color w:val="000000" w:themeColor="text1"/>
          <w:sz w:val="24"/>
        </w:rPr>
        <w:t>1</w:t>
      </w:r>
      <w:r>
        <w:rPr>
          <w:rFonts w:hint="eastAsia" w:cs="宋体" w:asciiTheme="minorEastAsia" w:hAnsiTheme="minorEastAsia"/>
          <w:color w:val="000000" w:themeColor="text1"/>
          <w:sz w:val="24"/>
          <w:lang w:val="en-US" w:eastAsia="zh-CN"/>
        </w:rPr>
        <w:t>1</w:t>
      </w:r>
      <w:r>
        <w:rPr>
          <w:rFonts w:hint="eastAsia" w:cs="宋体" w:asciiTheme="minorEastAsia" w:hAnsiTheme="minorEastAsia"/>
          <w:color w:val="000000" w:themeColor="text1"/>
          <w:sz w:val="24"/>
        </w:rPr>
        <w:t>.本工程施工所需水、电等由承包人负责，相关费用在投标报价中考虑。</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default" w:cs="宋体" w:asciiTheme="minorEastAsia" w:hAnsiTheme="minorEastAsia" w:eastAsiaTheme="minorEastAsia"/>
          <w:color w:val="000000" w:themeColor="text1"/>
          <w:sz w:val="24"/>
          <w:lang w:val="en-US" w:eastAsia="zh-CN"/>
        </w:rPr>
      </w:pPr>
      <w:r>
        <w:rPr>
          <w:rFonts w:hint="eastAsia" w:cs="宋体" w:asciiTheme="minorEastAsia" w:hAnsiTheme="minorEastAsia"/>
          <w:color w:val="000000" w:themeColor="text1"/>
          <w:sz w:val="24"/>
          <w:lang w:val="en-US" w:eastAsia="zh-CN"/>
        </w:rPr>
        <w:t>12</w:t>
      </w:r>
      <w:r>
        <w:rPr>
          <w:rFonts w:hint="eastAsia" w:cs="宋体" w:asciiTheme="minorEastAsia" w:hAnsiTheme="minorEastAsia"/>
          <w:color w:val="000000" w:themeColor="text1"/>
          <w:sz w:val="24"/>
        </w:rPr>
        <w:t>.本工程计税方法为一般计税。</w:t>
      </w:r>
    </w:p>
    <w:p>
      <w:pPr>
        <w:spacing w:line="360" w:lineRule="auto"/>
        <w:rPr>
          <w:rFonts w:cs="Times New Roman" w:asciiTheme="minorEastAsia" w:hAnsiTheme="minorEastAsia"/>
          <w:b/>
          <w:bCs/>
          <w:kern w:val="0"/>
          <w:sz w:val="24"/>
        </w:rPr>
      </w:pPr>
      <w:r>
        <w:rPr>
          <w:rFonts w:hint="eastAsia" w:cs="Times New Roman" w:asciiTheme="minorEastAsia" w:hAnsiTheme="minorEastAsia"/>
          <w:b/>
          <w:bCs/>
          <w:kern w:val="0"/>
          <w:sz w:val="24"/>
        </w:rPr>
        <w:t>（</w:t>
      </w:r>
      <w:r>
        <w:rPr>
          <w:rFonts w:hint="eastAsia" w:cs="Times New Roman" w:asciiTheme="minorEastAsia" w:hAnsiTheme="minorEastAsia"/>
          <w:b/>
          <w:bCs/>
          <w:kern w:val="0"/>
          <w:sz w:val="24"/>
          <w:lang w:val="en-US" w:eastAsia="zh-CN"/>
        </w:rPr>
        <w:t>二</w:t>
      </w:r>
      <w:r>
        <w:rPr>
          <w:rFonts w:hint="eastAsia" w:cs="Times New Roman" w:asciiTheme="minorEastAsia" w:hAnsiTheme="minorEastAsia"/>
          <w:b/>
          <w:bCs/>
          <w:kern w:val="0"/>
          <w:sz w:val="24"/>
        </w:rPr>
        <w:t>）</w:t>
      </w:r>
      <w:r>
        <w:rPr>
          <w:rFonts w:hint="eastAsia" w:cs="Times New Roman" w:asciiTheme="minorEastAsia" w:hAnsiTheme="minorEastAsia"/>
          <w:b/>
          <w:bCs/>
          <w:kern w:val="0"/>
          <w:sz w:val="24"/>
          <w:lang w:val="en-US" w:eastAsia="zh-CN"/>
        </w:rPr>
        <w:t>修缮</w:t>
      </w:r>
      <w:r>
        <w:rPr>
          <w:rFonts w:hint="eastAsia" w:cs="Times New Roman" w:asciiTheme="minorEastAsia" w:hAnsiTheme="minorEastAsia"/>
          <w:b/>
          <w:bCs/>
          <w:kern w:val="0"/>
          <w:sz w:val="24"/>
        </w:rPr>
        <w:t>工程编制说明</w:t>
      </w:r>
    </w:p>
    <w:p>
      <w:pPr>
        <w:keepNext w:val="0"/>
        <w:keepLines w:val="0"/>
        <w:pageBreakBefore w:val="0"/>
        <w:kinsoku/>
        <w:wordWrap/>
        <w:overflowPunct/>
        <w:topLinePunct w:val="0"/>
        <w:autoSpaceDE/>
        <w:autoSpaceDN/>
        <w:bidi w:val="0"/>
        <w:adjustRightInd/>
        <w:snapToGrid/>
        <w:spacing w:line="408" w:lineRule="auto"/>
        <w:ind w:firstLine="480" w:firstLineChars="200"/>
        <w:textAlignment w:val="auto"/>
        <w:rPr>
          <w:rFonts w:cs="宋体" w:asciiTheme="minorEastAsia" w:hAnsiTheme="minorEastAsia"/>
          <w:sz w:val="24"/>
        </w:rPr>
      </w:pPr>
      <w:r>
        <w:rPr>
          <w:rFonts w:hint="eastAsia" w:cs="宋体" w:asciiTheme="minorEastAsia" w:hAnsiTheme="minorEastAsia"/>
          <w:sz w:val="24"/>
        </w:rPr>
        <w:t>1、本工程施工过程中必须严格执行《常州市建筑施工扬尘控制实施细则》，</w:t>
      </w:r>
    </w:p>
    <w:p>
      <w:pPr>
        <w:keepNext w:val="0"/>
        <w:keepLines w:val="0"/>
        <w:pageBreakBefore w:val="0"/>
        <w:kinsoku/>
        <w:wordWrap/>
        <w:overflowPunct/>
        <w:topLinePunct w:val="0"/>
        <w:autoSpaceDE/>
        <w:autoSpaceDN/>
        <w:bidi w:val="0"/>
        <w:adjustRightInd/>
        <w:snapToGrid/>
        <w:spacing w:line="408" w:lineRule="auto"/>
        <w:textAlignment w:val="auto"/>
        <w:rPr>
          <w:rFonts w:cs="宋体" w:asciiTheme="minorEastAsia" w:hAnsiTheme="minorEastAsia"/>
          <w:sz w:val="24"/>
        </w:rPr>
      </w:pPr>
      <w:r>
        <w:rPr>
          <w:rFonts w:hint="eastAsia" w:cs="宋体" w:asciiTheme="minorEastAsia" w:hAnsiTheme="minorEastAsia"/>
          <w:sz w:val="24"/>
        </w:rPr>
        <w:t>文明施工费率中已经包含扬尘污染防治增加费，投标单位在投标报价中应综合考虑现场裸土覆盖、洒水降尘、雾炮降尘、出入口及材料堆放地场地硬化、作业车辆进出的冲洗、场内通道与场外道路出入口保洁及与环保要求相关的其他扬尘控制措施相关费用。</w:t>
      </w:r>
    </w:p>
    <w:p>
      <w:pPr>
        <w:keepNext w:val="0"/>
        <w:keepLines w:val="0"/>
        <w:pageBreakBefore w:val="0"/>
        <w:kinsoku/>
        <w:wordWrap/>
        <w:overflowPunct/>
        <w:topLinePunct w:val="0"/>
        <w:autoSpaceDE/>
        <w:autoSpaceDN/>
        <w:bidi w:val="0"/>
        <w:adjustRightInd/>
        <w:snapToGrid/>
        <w:spacing w:line="408" w:lineRule="auto"/>
        <w:ind w:firstLine="480" w:firstLineChars="200"/>
        <w:textAlignment w:val="auto"/>
        <w:rPr>
          <w:rFonts w:hint="eastAsia" w:cs="宋体" w:asciiTheme="minorEastAsia" w:hAnsiTheme="minorEastAsia"/>
          <w:sz w:val="24"/>
        </w:rPr>
      </w:pPr>
      <w:r>
        <w:rPr>
          <w:rFonts w:hint="eastAsia" w:cs="宋体" w:asciiTheme="minorEastAsia" w:hAnsiTheme="minorEastAsia"/>
          <w:sz w:val="24"/>
          <w:lang w:val="en-US" w:eastAsia="zh-CN"/>
        </w:rPr>
        <w:t>3</w:t>
      </w:r>
      <w:r>
        <w:rPr>
          <w:rFonts w:hint="eastAsia" w:cs="宋体" w:asciiTheme="minorEastAsia" w:hAnsiTheme="minorEastAsia"/>
          <w:sz w:val="24"/>
        </w:rPr>
        <w:t>、</w:t>
      </w:r>
      <w:r>
        <w:rPr>
          <w:rFonts w:hint="eastAsia" w:cs="宋体" w:asciiTheme="minorEastAsia" w:hAnsiTheme="minorEastAsia"/>
          <w:sz w:val="24"/>
          <w:lang w:val="en-US" w:eastAsia="zh-CN"/>
        </w:rPr>
        <w:t xml:space="preserve">本工程所用砼均为预拌商品砼（无论清单项目特征是否注明砼拌和方式）， </w:t>
      </w:r>
    </w:p>
    <w:p>
      <w:pPr>
        <w:keepNext w:val="0"/>
        <w:keepLines w:val="0"/>
        <w:pageBreakBefore w:val="0"/>
        <w:kinsoku/>
        <w:wordWrap/>
        <w:overflowPunct/>
        <w:topLinePunct w:val="0"/>
        <w:autoSpaceDE/>
        <w:autoSpaceDN/>
        <w:bidi w:val="0"/>
        <w:adjustRightInd/>
        <w:snapToGrid/>
        <w:spacing w:line="408" w:lineRule="auto"/>
        <w:textAlignment w:val="auto"/>
        <w:rPr>
          <w:rFonts w:hint="eastAsia" w:cs="宋体" w:asciiTheme="minorEastAsia" w:hAnsiTheme="minorEastAsia"/>
          <w:sz w:val="24"/>
        </w:rPr>
      </w:pPr>
      <w:r>
        <w:rPr>
          <w:rFonts w:hint="eastAsia" w:cs="宋体" w:asciiTheme="minorEastAsia" w:hAnsiTheme="minorEastAsia"/>
          <w:sz w:val="24"/>
          <w:lang w:val="en-US" w:eastAsia="zh-CN"/>
        </w:rPr>
        <w:t xml:space="preserve">投标人应按此要求报价，预拌商品砼输送方式由投标人自行考虑，并含在相应的 </w:t>
      </w:r>
    </w:p>
    <w:p>
      <w:pPr>
        <w:keepNext w:val="0"/>
        <w:keepLines w:val="0"/>
        <w:pageBreakBefore w:val="0"/>
        <w:kinsoku/>
        <w:wordWrap/>
        <w:overflowPunct/>
        <w:topLinePunct w:val="0"/>
        <w:autoSpaceDE/>
        <w:autoSpaceDN/>
        <w:bidi w:val="0"/>
        <w:adjustRightInd/>
        <w:snapToGrid/>
        <w:spacing w:line="408" w:lineRule="auto"/>
        <w:textAlignment w:val="auto"/>
        <w:rPr>
          <w:rFonts w:hint="eastAsia" w:cs="宋体" w:asciiTheme="minorEastAsia" w:hAnsiTheme="minorEastAsia"/>
          <w:sz w:val="24"/>
        </w:rPr>
      </w:pPr>
      <w:r>
        <w:rPr>
          <w:rFonts w:hint="eastAsia" w:cs="宋体" w:asciiTheme="minorEastAsia" w:hAnsiTheme="minorEastAsia"/>
          <w:sz w:val="24"/>
          <w:lang w:val="en-US" w:eastAsia="zh-CN"/>
        </w:rPr>
        <w:t>投标综合单价内。</w:t>
      </w:r>
    </w:p>
    <w:p>
      <w:pPr>
        <w:keepNext w:val="0"/>
        <w:keepLines w:val="0"/>
        <w:pageBreakBefore w:val="0"/>
        <w:kinsoku/>
        <w:wordWrap/>
        <w:overflowPunct/>
        <w:topLinePunct w:val="0"/>
        <w:autoSpaceDE/>
        <w:autoSpaceDN/>
        <w:bidi w:val="0"/>
        <w:adjustRightInd/>
        <w:snapToGrid/>
        <w:spacing w:line="408" w:lineRule="auto"/>
        <w:ind w:firstLine="480" w:firstLineChars="200"/>
        <w:textAlignment w:val="auto"/>
        <w:rPr>
          <w:rFonts w:hint="eastAsia" w:cs="宋体" w:asciiTheme="minorEastAsia" w:hAnsiTheme="minorEastAsia"/>
          <w:sz w:val="24"/>
        </w:rPr>
      </w:pPr>
      <w:r>
        <w:rPr>
          <w:rFonts w:hint="eastAsia" w:cs="宋体" w:asciiTheme="minorEastAsia" w:hAnsiTheme="minorEastAsia"/>
          <w:sz w:val="24"/>
          <w:lang w:val="en-US" w:eastAsia="zh-CN"/>
        </w:rPr>
        <w:t>4、本工程所用砂浆均为预拌商品砂浆（无论清单项目特征是否注明砂浆拌 和方式），投标人应按此要求报价，并含在相应的投标综合单价内。</w:t>
      </w:r>
    </w:p>
    <w:p>
      <w:pPr>
        <w:keepNext w:val="0"/>
        <w:keepLines w:val="0"/>
        <w:pageBreakBefore w:val="0"/>
        <w:kinsoku/>
        <w:wordWrap/>
        <w:overflowPunct/>
        <w:topLinePunct w:val="0"/>
        <w:autoSpaceDE/>
        <w:autoSpaceDN/>
        <w:bidi w:val="0"/>
        <w:adjustRightInd/>
        <w:snapToGrid/>
        <w:spacing w:line="408" w:lineRule="auto"/>
        <w:ind w:firstLine="480" w:firstLineChars="200"/>
        <w:textAlignment w:val="auto"/>
        <w:rPr>
          <w:rFonts w:hint="eastAsia" w:cs="宋体" w:asciiTheme="minorEastAsia" w:hAnsiTheme="minorEastAsia"/>
          <w:sz w:val="24"/>
        </w:rPr>
      </w:pPr>
      <w:r>
        <w:rPr>
          <w:rFonts w:hint="eastAsia" w:cs="宋体" w:asciiTheme="minorEastAsia" w:hAnsiTheme="minorEastAsia"/>
          <w:sz w:val="24"/>
          <w:lang w:val="en-US" w:eastAsia="zh-CN"/>
        </w:rPr>
        <w:t>5</w:t>
      </w:r>
      <w:r>
        <w:rPr>
          <w:rFonts w:hint="eastAsia" w:cs="宋体" w:asciiTheme="minorEastAsia" w:hAnsiTheme="minorEastAsia"/>
          <w:sz w:val="24"/>
        </w:rPr>
        <w:t>、现场拆除工作，切忌野蛮、暴力破坏性拆除，应文明施工、保护性拆除。各类拆除的设备、材料的现场临时堆放、清理、运输以及部分设备材料搬迁等费用已包含在控制价中，投标人在投标报价时自行考虑。</w:t>
      </w:r>
    </w:p>
    <w:p>
      <w:pPr>
        <w:keepNext w:val="0"/>
        <w:keepLines w:val="0"/>
        <w:pageBreakBefore w:val="0"/>
        <w:kinsoku/>
        <w:wordWrap/>
        <w:overflowPunct/>
        <w:topLinePunct w:val="0"/>
        <w:autoSpaceDE/>
        <w:autoSpaceDN/>
        <w:bidi w:val="0"/>
        <w:adjustRightInd/>
        <w:snapToGrid/>
        <w:spacing w:line="408" w:lineRule="auto"/>
        <w:ind w:firstLine="480" w:firstLineChars="200"/>
        <w:textAlignment w:val="auto"/>
        <w:rPr>
          <w:rFonts w:hint="eastAsia" w:ascii="宋体" w:hAnsi="宋体" w:cs="宋体"/>
          <w:sz w:val="24"/>
        </w:rPr>
      </w:pPr>
      <w:r>
        <w:rPr>
          <w:rFonts w:hint="eastAsia" w:cs="宋体" w:asciiTheme="minorEastAsia" w:hAnsiTheme="minorEastAsia"/>
          <w:sz w:val="24"/>
          <w:lang w:val="en-US" w:eastAsia="zh-CN"/>
        </w:rPr>
        <w:t>6、</w:t>
      </w:r>
      <w:r>
        <w:rPr>
          <w:rFonts w:hint="eastAsia" w:ascii="宋体" w:hAnsi="宋体" w:cs="宋体"/>
          <w:sz w:val="24"/>
        </w:rPr>
        <w:t>施工期间如损坏、污染其校园设备、场地等设施必须按原样复原，不另行签证，价格不调整。</w:t>
      </w:r>
    </w:p>
    <w:p>
      <w:pPr>
        <w:keepNext w:val="0"/>
        <w:keepLines w:val="0"/>
        <w:pageBreakBefore w:val="0"/>
        <w:kinsoku/>
        <w:wordWrap/>
        <w:overflowPunct/>
        <w:topLinePunct w:val="0"/>
        <w:autoSpaceDE/>
        <w:autoSpaceDN/>
        <w:bidi w:val="0"/>
        <w:adjustRightInd/>
        <w:snapToGrid/>
        <w:spacing w:line="408" w:lineRule="auto"/>
        <w:ind w:firstLine="480" w:firstLineChars="200"/>
        <w:textAlignment w:val="auto"/>
        <w:rPr>
          <w:rFonts w:hint="eastAsia" w:ascii="宋体" w:hAnsi="宋体" w:cs="宋体"/>
          <w:kern w:val="0"/>
          <w:sz w:val="24"/>
        </w:rPr>
      </w:pPr>
      <w:r>
        <w:rPr>
          <w:rFonts w:hint="eastAsia" w:ascii="宋体" w:hAnsi="宋体" w:cs="宋体"/>
          <w:sz w:val="24"/>
          <w:lang w:val="en-US" w:eastAsia="zh-CN"/>
        </w:rPr>
        <w:t>7、</w:t>
      </w:r>
      <w:r>
        <w:rPr>
          <w:rFonts w:hint="eastAsia" w:ascii="宋体" w:hAnsi="宋体" w:cs="宋体"/>
          <w:kern w:val="0"/>
          <w:sz w:val="24"/>
        </w:rPr>
        <w:t>各工种、各专业之间无条件配合，不计取任何配合费。</w:t>
      </w:r>
    </w:p>
    <w:p>
      <w:pPr>
        <w:keepNext w:val="0"/>
        <w:keepLines w:val="0"/>
        <w:pageBreakBefore w:val="0"/>
        <w:numPr>
          <w:numId w:val="0"/>
        </w:numPr>
        <w:kinsoku/>
        <w:wordWrap/>
        <w:overflowPunct/>
        <w:topLinePunct w:val="0"/>
        <w:autoSpaceDE/>
        <w:autoSpaceDN/>
        <w:bidi w:val="0"/>
        <w:adjustRightInd/>
        <w:snapToGrid/>
        <w:spacing w:line="408" w:lineRule="auto"/>
        <w:ind w:firstLine="480" w:firstLineChars="200"/>
        <w:textAlignment w:val="auto"/>
        <w:rPr>
          <w:rFonts w:hint="eastAsia" w:ascii="宋体" w:hAnsi="宋体" w:cs="宋体"/>
          <w:sz w:val="24"/>
        </w:rPr>
      </w:pPr>
      <w:r>
        <w:rPr>
          <w:rFonts w:hint="eastAsia" w:ascii="宋体" w:hAnsi="宋体" w:cs="宋体"/>
          <w:sz w:val="24"/>
          <w:lang w:val="en-US" w:eastAsia="zh-CN"/>
        </w:rPr>
        <w:t>8、</w:t>
      </w:r>
      <w:r>
        <w:rPr>
          <w:rFonts w:hint="eastAsia" w:ascii="宋体" w:hAnsi="宋体" w:cs="宋体"/>
          <w:sz w:val="24"/>
        </w:rPr>
        <w:t>所有垃圾清理外运：清理、拆除的垃圾外运及垃圾处理费，由投标单位考虑到报价中，垃圾处理要求按照“常城管（2019）31号”文件执行，该项费用包干。</w:t>
      </w:r>
    </w:p>
    <w:p>
      <w:pPr>
        <w:keepNext w:val="0"/>
        <w:keepLines w:val="0"/>
        <w:pageBreakBefore w:val="0"/>
        <w:numPr>
          <w:numId w:val="0"/>
        </w:numPr>
        <w:kinsoku/>
        <w:wordWrap/>
        <w:overflowPunct/>
        <w:topLinePunct w:val="0"/>
        <w:autoSpaceDE/>
        <w:autoSpaceDN/>
        <w:bidi w:val="0"/>
        <w:adjustRightInd/>
        <w:snapToGrid/>
        <w:spacing w:line="408" w:lineRule="auto"/>
        <w:ind w:firstLine="480" w:firstLineChars="200"/>
        <w:textAlignment w:val="auto"/>
        <w:rPr>
          <w:rFonts w:hint="eastAsia" w:ascii="宋体" w:hAnsi="宋体" w:cs="宋体"/>
          <w:sz w:val="24"/>
        </w:rPr>
      </w:pPr>
      <w:r>
        <w:rPr>
          <w:rFonts w:hint="eastAsia" w:ascii="宋体" w:hAnsi="宋体" w:cs="宋体"/>
          <w:sz w:val="24"/>
          <w:lang w:val="en-US" w:eastAsia="zh-CN"/>
        </w:rPr>
        <w:t>9、</w:t>
      </w:r>
      <w:r>
        <w:rPr>
          <w:rFonts w:hint="eastAsia" w:ascii="宋体" w:hAnsi="宋体" w:cs="宋体"/>
          <w:sz w:val="24"/>
        </w:rPr>
        <w:t>保修期内验收发现涂料剥皮，脱落、瓷砖开裂、空鼓，均由施工方无偿返工维修。</w:t>
      </w:r>
    </w:p>
    <w:p>
      <w:pPr>
        <w:keepNext w:val="0"/>
        <w:keepLines w:val="0"/>
        <w:pageBreakBefore w:val="0"/>
        <w:numPr>
          <w:numId w:val="0"/>
        </w:numPr>
        <w:kinsoku/>
        <w:wordWrap/>
        <w:overflowPunct/>
        <w:topLinePunct w:val="0"/>
        <w:autoSpaceDE/>
        <w:autoSpaceDN/>
        <w:bidi w:val="0"/>
        <w:adjustRightInd/>
        <w:snapToGrid/>
        <w:spacing w:line="408" w:lineRule="auto"/>
        <w:ind w:firstLine="480" w:firstLineChars="200"/>
        <w:textAlignment w:val="auto"/>
        <w:rPr>
          <w:rFonts w:hint="eastAsia" w:ascii="宋体" w:hAnsi="宋体" w:cs="宋体"/>
          <w:sz w:val="24"/>
        </w:rPr>
      </w:pPr>
      <w:r>
        <w:rPr>
          <w:rFonts w:hint="eastAsia" w:ascii="宋体" w:hAnsi="宋体" w:cs="宋体"/>
          <w:sz w:val="24"/>
          <w:lang w:val="en-US" w:eastAsia="zh-CN"/>
        </w:rPr>
        <w:t>10、</w:t>
      </w:r>
      <w:r>
        <w:rPr>
          <w:rFonts w:hint="eastAsia" w:ascii="宋体" w:hAnsi="宋体" w:cs="宋体"/>
          <w:sz w:val="24"/>
        </w:rPr>
        <w:t>所有涂料、乳胶漆、胶水、腻子均要求一次性进场，施工期间只允许进不允许出。主要主材（包括外墙涂料、外墙乳胶漆、内墙乳胶漆、胶水）提供有效期内的环保检测合格证;施工过程中注意成品保护，用彩条布或塑料薄膜覆盖。</w:t>
      </w:r>
    </w:p>
    <w:p>
      <w:pPr>
        <w:keepNext w:val="0"/>
        <w:keepLines w:val="0"/>
        <w:pageBreakBefore w:val="0"/>
        <w:numPr>
          <w:numId w:val="0"/>
        </w:numPr>
        <w:kinsoku/>
        <w:wordWrap/>
        <w:overflowPunct/>
        <w:topLinePunct w:val="0"/>
        <w:autoSpaceDE/>
        <w:autoSpaceDN/>
        <w:bidi w:val="0"/>
        <w:adjustRightInd/>
        <w:snapToGrid/>
        <w:spacing w:line="408" w:lineRule="auto"/>
        <w:ind w:firstLine="480" w:firstLineChars="200"/>
        <w:textAlignment w:val="auto"/>
        <w:rPr>
          <w:rFonts w:hint="eastAsia" w:ascii="宋体" w:hAnsi="宋体" w:cs="宋体"/>
          <w:sz w:val="24"/>
        </w:rPr>
      </w:pPr>
      <w:r>
        <w:rPr>
          <w:rFonts w:hint="eastAsia" w:ascii="宋体" w:hAnsi="宋体" w:cs="宋体"/>
          <w:sz w:val="24"/>
          <w:lang w:val="en-US" w:eastAsia="zh-CN"/>
        </w:rPr>
        <w:t>11、</w:t>
      </w:r>
      <w:r>
        <w:rPr>
          <w:rFonts w:hint="eastAsia" w:ascii="宋体" w:hAnsi="宋体" w:cs="宋体"/>
          <w:sz w:val="24"/>
        </w:rPr>
        <w:t>墙面、天棚、地面、台面、门窗、扶手、灯具、空调、桌椅、柜面等清理干净交付；所有项目的报价均为按规范、要求完成该项目所有工序、工完场清且经验收合格后的价格 。</w:t>
      </w:r>
    </w:p>
    <w:p>
      <w:pPr>
        <w:keepNext w:val="0"/>
        <w:keepLines w:val="0"/>
        <w:pageBreakBefore w:val="0"/>
        <w:numPr>
          <w:numId w:val="0"/>
        </w:numPr>
        <w:kinsoku/>
        <w:wordWrap/>
        <w:overflowPunct/>
        <w:topLinePunct w:val="0"/>
        <w:autoSpaceDE/>
        <w:autoSpaceDN/>
        <w:bidi w:val="0"/>
        <w:adjustRightInd/>
        <w:snapToGrid/>
        <w:spacing w:line="408" w:lineRule="auto"/>
        <w:ind w:firstLine="480" w:firstLineChars="200"/>
        <w:textAlignment w:val="auto"/>
        <w:rPr>
          <w:rFonts w:hint="eastAsia" w:ascii="宋体" w:hAnsi="宋体" w:cs="宋体"/>
          <w:sz w:val="24"/>
        </w:rPr>
      </w:pPr>
      <w:r>
        <w:rPr>
          <w:rFonts w:hint="eastAsia" w:ascii="宋体" w:hAnsi="宋体" w:cs="宋体"/>
          <w:sz w:val="24"/>
          <w:lang w:val="en-US" w:eastAsia="zh-CN"/>
        </w:rPr>
        <w:t>12、</w:t>
      </w:r>
      <w:r>
        <w:rPr>
          <w:rFonts w:hint="eastAsia" w:ascii="宋体" w:hAnsi="宋体" w:cs="宋体"/>
          <w:sz w:val="24"/>
        </w:rPr>
        <w:t>所有刷涂料项目中，现场均包含线槽管刷涂料，线槽切割机切割，包含铺设网格布，不另行签证。</w:t>
      </w:r>
    </w:p>
    <w:p>
      <w:pPr>
        <w:keepNext w:val="0"/>
        <w:keepLines w:val="0"/>
        <w:pageBreakBefore w:val="0"/>
        <w:numPr>
          <w:numId w:val="0"/>
        </w:numPr>
        <w:kinsoku/>
        <w:wordWrap/>
        <w:overflowPunct/>
        <w:topLinePunct w:val="0"/>
        <w:autoSpaceDE/>
        <w:autoSpaceDN/>
        <w:bidi w:val="0"/>
        <w:adjustRightInd/>
        <w:snapToGrid/>
        <w:spacing w:line="408" w:lineRule="auto"/>
        <w:ind w:firstLine="480" w:firstLineChars="200"/>
        <w:textAlignment w:val="auto"/>
        <w:rPr>
          <w:rFonts w:hint="eastAsia" w:ascii="宋体" w:hAnsi="宋体" w:cs="宋体"/>
          <w:sz w:val="24"/>
        </w:rPr>
      </w:pPr>
      <w:r>
        <w:rPr>
          <w:rFonts w:hint="eastAsia" w:ascii="宋体" w:hAnsi="宋体" w:cs="宋体"/>
          <w:sz w:val="24"/>
          <w:lang w:val="en-US" w:eastAsia="zh-CN"/>
        </w:rPr>
        <w:t>13、</w:t>
      </w:r>
      <w:r>
        <w:rPr>
          <w:rFonts w:hint="eastAsia" w:ascii="宋体" w:hAnsi="宋体" w:cs="宋体"/>
          <w:sz w:val="24"/>
        </w:rPr>
        <w:t>所有门窗塞缝，发泡剂禁止用刀片切割，以防渗水。门窗框与墙体连接必须全部使用304不锈钢配件。</w:t>
      </w:r>
    </w:p>
    <w:p>
      <w:pPr>
        <w:keepNext w:val="0"/>
        <w:keepLines w:val="0"/>
        <w:pageBreakBefore w:val="0"/>
        <w:numPr>
          <w:numId w:val="0"/>
        </w:numPr>
        <w:kinsoku/>
        <w:wordWrap/>
        <w:overflowPunct/>
        <w:topLinePunct w:val="0"/>
        <w:autoSpaceDE/>
        <w:autoSpaceDN/>
        <w:bidi w:val="0"/>
        <w:adjustRightInd/>
        <w:snapToGrid/>
        <w:spacing w:line="408" w:lineRule="auto"/>
        <w:ind w:firstLine="480" w:firstLineChars="200"/>
        <w:textAlignment w:val="auto"/>
        <w:rPr>
          <w:rFonts w:hint="eastAsia" w:ascii="宋体" w:hAnsi="宋体" w:cs="宋体"/>
          <w:sz w:val="24"/>
        </w:rPr>
      </w:pPr>
      <w:r>
        <w:rPr>
          <w:rFonts w:hint="eastAsia" w:ascii="宋体" w:hAnsi="宋体" w:cs="宋体"/>
          <w:sz w:val="24"/>
          <w:lang w:val="en-US" w:eastAsia="zh-CN"/>
        </w:rPr>
        <w:t>14、所有墙砖均需通体瓷质白坯，瓷砖背面须有明显标注“产地广东，何品牌，生产日期”或者包装箱上有详细广东的生产地址。</w:t>
      </w:r>
    </w:p>
    <w:p>
      <w:pPr>
        <w:keepNext w:val="0"/>
        <w:keepLines w:val="0"/>
        <w:pageBreakBefore w:val="0"/>
        <w:numPr>
          <w:numId w:val="0"/>
        </w:numPr>
        <w:kinsoku/>
        <w:wordWrap/>
        <w:overflowPunct/>
        <w:topLinePunct w:val="0"/>
        <w:autoSpaceDE/>
        <w:autoSpaceDN/>
        <w:bidi w:val="0"/>
        <w:adjustRightInd/>
        <w:snapToGrid/>
        <w:spacing w:line="408" w:lineRule="auto"/>
        <w:ind w:firstLine="480" w:firstLineChars="200"/>
        <w:textAlignment w:val="auto"/>
        <w:rPr>
          <w:rFonts w:hint="eastAsia" w:ascii="宋体" w:hAnsi="宋体" w:cs="宋体"/>
          <w:kern w:val="0"/>
          <w:sz w:val="24"/>
          <w:lang w:val="en-US" w:eastAsia="zh-CN"/>
        </w:rPr>
      </w:pPr>
      <w:r>
        <w:rPr>
          <w:rFonts w:hint="eastAsia" w:ascii="宋体" w:hAnsi="宋体" w:cs="宋体"/>
          <w:sz w:val="24"/>
          <w:lang w:val="en-US" w:eastAsia="zh-CN"/>
        </w:rPr>
        <w:t>15、所有地砖均需通体砖，瓷砖背面须有明显标注“产地广东（或福建），何品牌，生产日期”或者包装箱上有详细广东（或福建）的生产地址。</w:t>
      </w:r>
    </w:p>
    <w:p>
      <w:pPr>
        <w:keepNext w:val="0"/>
        <w:keepLines w:val="0"/>
        <w:pageBreakBefore w:val="0"/>
        <w:widowControl/>
        <w:suppressLineNumbers w:val="0"/>
        <w:kinsoku/>
        <w:wordWrap/>
        <w:overflowPunct/>
        <w:topLinePunct w:val="0"/>
        <w:autoSpaceDE/>
        <w:autoSpaceDN/>
        <w:bidi w:val="0"/>
        <w:adjustRightInd/>
        <w:snapToGrid/>
        <w:spacing w:line="408" w:lineRule="auto"/>
        <w:ind w:firstLine="480" w:firstLineChars="200"/>
        <w:jc w:val="left"/>
        <w:textAlignment w:val="auto"/>
        <w:rPr>
          <w:rFonts w:hint="eastAsia" w:cs="宋体" w:asciiTheme="minorEastAsia" w:hAnsiTheme="minorEastAsia"/>
          <w:sz w:val="24"/>
          <w:lang w:val="en-US" w:eastAsia="zh-CN"/>
        </w:rPr>
      </w:pPr>
      <w:r>
        <w:rPr>
          <w:rFonts w:hint="eastAsia" w:ascii="宋体" w:hAnsi="宋体" w:eastAsia="宋体" w:cs="宋体"/>
          <w:color w:val="000000"/>
          <w:kern w:val="0"/>
          <w:sz w:val="24"/>
          <w:szCs w:val="24"/>
          <w:lang w:val="en-US" w:eastAsia="zh-CN" w:bidi="ar"/>
        </w:rPr>
        <w:t>16、工程中涉及的混凝土的输送方式由施工单位自行考虑，结算不调整。</w:t>
      </w:r>
    </w:p>
    <w:p>
      <w:pPr>
        <w:keepNext w:val="0"/>
        <w:keepLines w:val="0"/>
        <w:pageBreakBefore w:val="0"/>
        <w:kinsoku/>
        <w:wordWrap/>
        <w:overflowPunct/>
        <w:topLinePunct w:val="0"/>
        <w:autoSpaceDE/>
        <w:autoSpaceDN/>
        <w:bidi w:val="0"/>
        <w:adjustRightInd/>
        <w:snapToGrid/>
        <w:spacing w:line="408" w:lineRule="auto"/>
        <w:ind w:firstLine="480" w:firstLineChars="200"/>
        <w:textAlignment w:val="auto"/>
        <w:rPr>
          <w:rFonts w:hint="eastAsia" w:cs="宋体" w:asciiTheme="minorEastAsia" w:hAnsiTheme="minorEastAsia"/>
          <w:sz w:val="24"/>
          <w:lang w:val="en-US" w:eastAsia="zh-CN"/>
        </w:rPr>
      </w:pPr>
      <w:r>
        <w:rPr>
          <w:rFonts w:hint="eastAsia" w:cs="宋体" w:asciiTheme="minorEastAsia" w:hAnsiTheme="minorEastAsia"/>
          <w:sz w:val="24"/>
          <w:lang w:val="en-US" w:eastAsia="zh-CN"/>
        </w:rPr>
        <w:t>17、材料、设备的二次搬运费均已包含在相关项目中，不再另行计取。</w:t>
      </w:r>
    </w:p>
    <w:p>
      <w:pPr>
        <w:keepNext w:val="0"/>
        <w:keepLines w:val="0"/>
        <w:pageBreakBefore w:val="0"/>
        <w:kinsoku/>
        <w:wordWrap/>
        <w:overflowPunct/>
        <w:topLinePunct w:val="0"/>
        <w:autoSpaceDE/>
        <w:autoSpaceDN/>
        <w:bidi w:val="0"/>
        <w:adjustRightInd/>
        <w:snapToGrid/>
        <w:spacing w:line="408" w:lineRule="auto"/>
        <w:ind w:firstLine="480" w:firstLineChars="200"/>
        <w:textAlignment w:val="auto"/>
        <w:rPr>
          <w:rFonts w:hint="eastAsia" w:cs="宋体" w:asciiTheme="minorEastAsia" w:hAnsiTheme="minorEastAsia"/>
          <w:sz w:val="24"/>
        </w:rPr>
      </w:pPr>
      <w:r>
        <w:rPr>
          <w:rFonts w:hint="eastAsia" w:cs="宋体" w:asciiTheme="minorEastAsia" w:hAnsiTheme="minorEastAsia"/>
          <w:sz w:val="24"/>
          <w:lang w:val="en-US" w:eastAsia="zh-CN"/>
        </w:rPr>
        <w:t>18、</w:t>
      </w:r>
      <w:r>
        <w:rPr>
          <w:rFonts w:hint="eastAsia" w:cs="宋体" w:asciiTheme="minorEastAsia" w:hAnsiTheme="minorEastAsia"/>
          <w:sz w:val="24"/>
        </w:rPr>
        <w:t>本工程现场施工中环境保护、夜间施工、冬雨季施工、地上/地下设施/建筑物的临时保护设施、已完工程及设备保护、临时设施等费用、建筑工人实名制费用，投标人在投标报价时应充分考虑，结算时不予调整。</w:t>
      </w:r>
    </w:p>
    <w:p>
      <w:pPr>
        <w:keepNext w:val="0"/>
        <w:keepLines w:val="0"/>
        <w:pageBreakBefore w:val="0"/>
        <w:kinsoku/>
        <w:wordWrap/>
        <w:overflowPunct/>
        <w:topLinePunct w:val="0"/>
        <w:autoSpaceDE/>
        <w:autoSpaceDN/>
        <w:bidi w:val="0"/>
        <w:adjustRightInd/>
        <w:snapToGrid/>
        <w:spacing w:line="408" w:lineRule="auto"/>
        <w:ind w:firstLine="480" w:firstLineChars="200"/>
        <w:jc w:val="left"/>
        <w:textAlignment w:val="auto"/>
        <w:rPr>
          <w:rFonts w:hint="eastAsia" w:cs="宋体" w:asciiTheme="minorEastAsia" w:hAnsiTheme="minorEastAsia"/>
          <w:sz w:val="24"/>
        </w:rPr>
      </w:pPr>
      <w:r>
        <w:rPr>
          <w:rFonts w:hint="eastAsia" w:cs="宋体" w:asciiTheme="minorEastAsia" w:hAnsiTheme="minorEastAsia"/>
          <w:sz w:val="24"/>
          <w:lang w:val="en-US" w:eastAsia="zh-CN"/>
        </w:rPr>
        <w:t>19、</w:t>
      </w:r>
      <w:r>
        <w:rPr>
          <w:rFonts w:hint="eastAsia" w:cs="宋体" w:asciiTheme="minorEastAsia" w:hAnsiTheme="minorEastAsia"/>
          <w:sz w:val="24"/>
        </w:rPr>
        <w:t>单价及总价措施项目清单未列的，如投标单位认为实际现场需要的其他措施，则投标单位需将其费用自行考虑在投标总价内，结算时不新增措施项目清单。</w:t>
      </w:r>
    </w:p>
    <w:p>
      <w:pPr>
        <w:keepNext w:val="0"/>
        <w:keepLines w:val="0"/>
        <w:pageBreakBefore w:val="0"/>
        <w:kinsoku/>
        <w:wordWrap/>
        <w:overflowPunct/>
        <w:topLinePunct w:val="0"/>
        <w:autoSpaceDE/>
        <w:autoSpaceDN/>
        <w:bidi w:val="0"/>
        <w:adjustRightInd/>
        <w:snapToGrid/>
        <w:spacing w:line="408" w:lineRule="auto"/>
        <w:ind w:firstLine="480" w:firstLineChars="200"/>
        <w:jc w:val="left"/>
        <w:textAlignment w:val="auto"/>
        <w:rPr>
          <w:rFonts w:hint="eastAsia" w:cs="宋体" w:asciiTheme="minorEastAsia" w:hAnsiTheme="minorEastAsia"/>
          <w:sz w:val="24"/>
        </w:rPr>
      </w:pPr>
      <w:r>
        <w:rPr>
          <w:rFonts w:hint="eastAsia" w:cs="宋体" w:asciiTheme="minorEastAsia" w:hAnsiTheme="minorEastAsia"/>
          <w:sz w:val="24"/>
          <w:lang w:val="en-US" w:eastAsia="zh-CN"/>
        </w:rPr>
        <w:t>20</w:t>
      </w:r>
      <w:r>
        <w:rPr>
          <w:rFonts w:hint="eastAsia" w:cs="宋体" w:asciiTheme="minorEastAsia" w:hAnsiTheme="minorEastAsia"/>
          <w:sz w:val="24"/>
        </w:rPr>
        <w:t>、清单未描述完整处，投标单位还需按照设计图纸、验收规范及技术文件要求，进行报价。</w:t>
      </w:r>
    </w:p>
    <w:p>
      <w:pPr>
        <w:spacing w:line="360" w:lineRule="auto"/>
        <w:rPr>
          <w:rFonts w:hint="eastAsia" w:cs="Times New Roman" w:asciiTheme="minorEastAsia" w:hAnsiTheme="minorEastAsia"/>
          <w:b/>
          <w:bCs/>
          <w:kern w:val="0"/>
          <w:sz w:val="24"/>
        </w:rPr>
      </w:pPr>
      <w:r>
        <w:rPr>
          <w:rFonts w:hint="eastAsia" w:cs="Times New Roman" w:asciiTheme="minorEastAsia" w:hAnsiTheme="minorEastAsia"/>
          <w:b/>
          <w:bCs/>
          <w:kern w:val="0"/>
          <w:sz w:val="24"/>
          <w:lang w:val="en-US" w:eastAsia="zh-CN"/>
        </w:rPr>
        <w:t>四、</w:t>
      </w:r>
      <w:r>
        <w:rPr>
          <w:rFonts w:hint="eastAsia" w:cs="Times New Roman" w:asciiTheme="minorEastAsia" w:hAnsiTheme="minorEastAsia"/>
          <w:b/>
          <w:bCs/>
          <w:kern w:val="0"/>
          <w:sz w:val="24"/>
        </w:rPr>
        <w:t>材料品牌选择：</w:t>
      </w:r>
    </w:p>
    <w:p>
      <w:pPr>
        <w:spacing w:line="360" w:lineRule="auto"/>
        <w:rPr>
          <w:rFonts w:hint="eastAsia" w:cs="Times New Roman" w:asciiTheme="minorEastAsia" w:hAnsiTheme="minorEastAsia"/>
          <w:b/>
          <w:bCs/>
          <w:kern w:val="0"/>
          <w:sz w:val="24"/>
        </w:rPr>
      </w:pPr>
    </w:p>
    <w:tbl>
      <w:tblPr>
        <w:tblStyle w:val="5"/>
        <w:tblW w:w="0" w:type="auto"/>
        <w:tblInd w:w="93" w:type="dxa"/>
        <w:tblLayout w:type="fixed"/>
        <w:tblCellMar>
          <w:top w:w="0" w:type="dxa"/>
          <w:left w:w="108" w:type="dxa"/>
          <w:bottom w:w="0" w:type="dxa"/>
          <w:right w:w="108" w:type="dxa"/>
        </w:tblCellMar>
      </w:tblPr>
      <w:tblGrid>
        <w:gridCol w:w="640"/>
        <w:gridCol w:w="2069"/>
        <w:gridCol w:w="4819"/>
        <w:gridCol w:w="1843"/>
      </w:tblGrid>
      <w:tr>
        <w:tblPrEx>
          <w:tblCellMar>
            <w:top w:w="0" w:type="dxa"/>
            <w:left w:w="108" w:type="dxa"/>
            <w:bottom w:w="0" w:type="dxa"/>
            <w:right w:w="108" w:type="dxa"/>
          </w:tblCellMar>
        </w:tblPrEx>
        <w:trPr>
          <w:trHeight w:val="585" w:hRule="atLeast"/>
        </w:trPr>
        <w:tc>
          <w:tcPr>
            <w:tcW w:w="64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kern w:val="0"/>
                <w:sz w:val="24"/>
              </w:rPr>
            </w:pPr>
            <w:r>
              <w:rPr>
                <w:rFonts w:hint="eastAsia" w:ascii="宋体" w:hAnsi="宋体" w:cs="宋体"/>
                <w:kern w:val="0"/>
                <w:sz w:val="24"/>
              </w:rPr>
              <w:t>序号</w:t>
            </w:r>
          </w:p>
        </w:tc>
        <w:tc>
          <w:tcPr>
            <w:tcW w:w="206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kern w:val="0"/>
                <w:sz w:val="24"/>
              </w:rPr>
            </w:pPr>
            <w:r>
              <w:rPr>
                <w:rFonts w:hint="eastAsia" w:ascii="宋体" w:hAnsi="宋体" w:cs="宋体"/>
                <w:kern w:val="0"/>
                <w:sz w:val="24"/>
              </w:rPr>
              <w:t>材料名称</w:t>
            </w:r>
          </w:p>
        </w:tc>
        <w:tc>
          <w:tcPr>
            <w:tcW w:w="481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kern w:val="0"/>
                <w:sz w:val="24"/>
              </w:rPr>
            </w:pPr>
            <w:r>
              <w:rPr>
                <w:rFonts w:hint="eastAsia" w:ascii="宋体" w:hAnsi="宋体" w:cs="宋体"/>
                <w:kern w:val="0"/>
                <w:sz w:val="24"/>
              </w:rPr>
              <w:t>品 牌</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kern w:val="0"/>
                <w:sz w:val="24"/>
              </w:rPr>
            </w:pPr>
            <w:r>
              <w:rPr>
                <w:rFonts w:hint="eastAsia" w:ascii="宋体" w:hAnsi="宋体" w:cs="宋体"/>
                <w:kern w:val="0"/>
                <w:sz w:val="24"/>
              </w:rPr>
              <w:t>备注</w:t>
            </w:r>
          </w:p>
        </w:tc>
      </w:tr>
      <w:tr>
        <w:tblPrEx>
          <w:tblCellMar>
            <w:top w:w="0" w:type="dxa"/>
            <w:left w:w="108" w:type="dxa"/>
            <w:bottom w:w="0" w:type="dxa"/>
            <w:right w:w="108" w:type="dxa"/>
          </w:tblCellMar>
        </w:tblPrEx>
        <w:trPr>
          <w:trHeight w:val="585" w:hRule="atLeast"/>
        </w:trPr>
        <w:tc>
          <w:tcPr>
            <w:tcW w:w="64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 w:val="24"/>
              </w:rPr>
            </w:pPr>
            <w:r>
              <w:rPr>
                <w:rFonts w:hint="eastAsia" w:ascii="宋体" w:hAnsi="宋体" w:cs="宋体"/>
                <w:kern w:val="0"/>
                <w:sz w:val="24"/>
              </w:rPr>
              <w:t>1</w:t>
            </w:r>
          </w:p>
        </w:tc>
        <w:tc>
          <w:tcPr>
            <w:tcW w:w="206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eastAsia="宋体"/>
                <w:spacing w:val="9"/>
                <w:sz w:val="24"/>
                <w:lang w:eastAsia="zh-CN"/>
              </w:rPr>
            </w:pPr>
            <w:r>
              <w:rPr>
                <w:rFonts w:hint="eastAsia" w:ascii="宋体"/>
                <w:spacing w:val="9"/>
                <w:sz w:val="24"/>
              </w:rPr>
              <w:t>内墙</w:t>
            </w:r>
            <w:r>
              <w:rPr>
                <w:rFonts w:hint="eastAsia" w:ascii="宋体"/>
                <w:spacing w:val="9"/>
                <w:sz w:val="24"/>
                <w:lang w:val="en-US" w:eastAsia="zh-CN"/>
              </w:rPr>
              <w:t>无机涂料</w:t>
            </w:r>
          </w:p>
        </w:tc>
        <w:tc>
          <w:tcPr>
            <w:tcW w:w="4819" w:type="dxa"/>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eastAsia" w:ascii="宋体"/>
                <w:spacing w:val="9"/>
                <w:sz w:val="24"/>
              </w:rPr>
            </w:pPr>
            <w:r>
              <w:rPr>
                <w:rFonts w:hint="eastAsia" w:ascii="宋体"/>
                <w:spacing w:val="9"/>
                <w:sz w:val="24"/>
              </w:rPr>
              <w:t>多乐士Dulux、立邦漆Nippon、三棵树Skshu或经建设方书面认可的上述同档次品牌</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rPr>
            </w:pPr>
            <w:r>
              <w:rPr>
                <w:rFonts w:hint="eastAsia" w:ascii="宋体"/>
                <w:spacing w:val="9"/>
                <w:sz w:val="24"/>
              </w:rPr>
              <w:t>施工现场必须是原装18L或25L每桶</w:t>
            </w:r>
          </w:p>
        </w:tc>
      </w:tr>
      <w:tr>
        <w:tblPrEx>
          <w:tblCellMar>
            <w:top w:w="0" w:type="dxa"/>
            <w:left w:w="108" w:type="dxa"/>
            <w:bottom w:w="0" w:type="dxa"/>
            <w:right w:w="108" w:type="dxa"/>
          </w:tblCellMar>
        </w:tblPrEx>
        <w:trPr>
          <w:trHeight w:val="585" w:hRule="atLeast"/>
        </w:trPr>
        <w:tc>
          <w:tcPr>
            <w:tcW w:w="64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24"/>
                <w:lang w:eastAsia="zh-CN"/>
              </w:rPr>
            </w:pPr>
            <w:r>
              <w:rPr>
                <w:rFonts w:hint="eastAsia" w:ascii="宋体" w:hAnsi="宋体" w:cs="宋体"/>
                <w:sz w:val="24"/>
                <w:lang w:val="en-US" w:eastAsia="zh-CN"/>
              </w:rPr>
              <w:t>2</w:t>
            </w:r>
          </w:p>
        </w:tc>
        <w:tc>
          <w:tcPr>
            <w:tcW w:w="206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rPr>
            </w:pPr>
            <w:r>
              <w:rPr>
                <w:rFonts w:hint="eastAsia" w:ascii="宋体"/>
                <w:spacing w:val="9"/>
                <w:sz w:val="24"/>
              </w:rPr>
              <w:t>轻钢龙骨</w:t>
            </w:r>
          </w:p>
        </w:tc>
        <w:tc>
          <w:tcPr>
            <w:tcW w:w="481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rPr>
            </w:pPr>
            <w:r>
              <w:rPr>
                <w:rFonts w:hint="eastAsia" w:ascii="宋体"/>
                <w:spacing w:val="9"/>
                <w:sz w:val="24"/>
              </w:rPr>
              <w:t>拉法基、龙牌、可耐福或经建设方书面认可的上述同档次品牌</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rPr>
            </w:pPr>
          </w:p>
        </w:tc>
      </w:tr>
      <w:tr>
        <w:tblPrEx>
          <w:tblCellMar>
            <w:top w:w="0" w:type="dxa"/>
            <w:left w:w="108" w:type="dxa"/>
            <w:bottom w:w="0" w:type="dxa"/>
            <w:right w:w="108" w:type="dxa"/>
          </w:tblCellMar>
        </w:tblPrEx>
        <w:trPr>
          <w:trHeight w:val="582" w:hRule="atLeast"/>
        </w:trPr>
        <w:tc>
          <w:tcPr>
            <w:tcW w:w="64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24"/>
                <w:lang w:eastAsia="zh-CN"/>
              </w:rPr>
            </w:pPr>
            <w:r>
              <w:rPr>
                <w:rFonts w:hint="eastAsia" w:ascii="宋体" w:hAnsi="宋体" w:cs="宋体"/>
                <w:sz w:val="24"/>
                <w:lang w:val="en-US" w:eastAsia="zh-CN"/>
              </w:rPr>
              <w:t>4</w:t>
            </w:r>
          </w:p>
        </w:tc>
        <w:tc>
          <w:tcPr>
            <w:tcW w:w="206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rPr>
            </w:pPr>
            <w:r>
              <w:rPr>
                <w:rFonts w:hint="eastAsia" w:ascii="宋体"/>
                <w:spacing w:val="9"/>
                <w:sz w:val="24"/>
              </w:rPr>
              <w:t>窗五金配件、窗锁等</w:t>
            </w:r>
          </w:p>
        </w:tc>
        <w:tc>
          <w:tcPr>
            <w:tcW w:w="481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rPr>
            </w:pPr>
            <w:r>
              <w:rPr>
                <w:rFonts w:hint="eastAsia" w:ascii="宋体"/>
                <w:spacing w:val="9"/>
                <w:sz w:val="24"/>
              </w:rPr>
              <w:t>杨氏立兴（青岛）、坚朗（东莞）、合和兴（佛山）或经甲方认可的其他同等档次品牌</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rPr>
            </w:pPr>
          </w:p>
        </w:tc>
      </w:tr>
      <w:tr>
        <w:tblPrEx>
          <w:tblCellMar>
            <w:top w:w="0" w:type="dxa"/>
            <w:left w:w="108" w:type="dxa"/>
            <w:bottom w:w="0" w:type="dxa"/>
            <w:right w:w="108" w:type="dxa"/>
          </w:tblCellMar>
        </w:tblPrEx>
        <w:trPr>
          <w:trHeight w:val="664" w:hRule="atLeast"/>
        </w:trPr>
        <w:tc>
          <w:tcPr>
            <w:tcW w:w="64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24"/>
                <w:lang w:eastAsia="zh-CN"/>
              </w:rPr>
            </w:pPr>
            <w:r>
              <w:rPr>
                <w:rFonts w:hint="eastAsia" w:ascii="宋体" w:hAnsi="宋体" w:cs="宋体"/>
                <w:sz w:val="24"/>
                <w:lang w:val="en-US" w:eastAsia="zh-CN"/>
              </w:rPr>
              <w:t>5</w:t>
            </w:r>
          </w:p>
        </w:tc>
        <w:tc>
          <w:tcPr>
            <w:tcW w:w="206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rPr>
            </w:pPr>
            <w:r>
              <w:rPr>
                <w:rFonts w:hint="eastAsia" w:ascii="宋体"/>
                <w:spacing w:val="9"/>
                <w:sz w:val="24"/>
              </w:rPr>
              <w:t>玻璃</w:t>
            </w:r>
          </w:p>
        </w:tc>
        <w:tc>
          <w:tcPr>
            <w:tcW w:w="481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rPr>
            </w:pPr>
            <w:r>
              <w:rPr>
                <w:rFonts w:hint="eastAsia" w:ascii="宋体"/>
                <w:spacing w:val="9"/>
                <w:sz w:val="24"/>
              </w:rPr>
              <w:t>信义、上海耀皮、深圳南玻或经甲方认可的其他同等档次品牌（均为原厂原片）</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rPr>
            </w:pPr>
          </w:p>
        </w:tc>
      </w:tr>
      <w:tr>
        <w:tblPrEx>
          <w:tblCellMar>
            <w:top w:w="0" w:type="dxa"/>
            <w:left w:w="108" w:type="dxa"/>
            <w:bottom w:w="0" w:type="dxa"/>
            <w:right w:w="108" w:type="dxa"/>
          </w:tblCellMar>
        </w:tblPrEx>
        <w:trPr>
          <w:trHeight w:val="664" w:hRule="atLeast"/>
        </w:trPr>
        <w:tc>
          <w:tcPr>
            <w:tcW w:w="64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宋体" w:hAnsi="宋体" w:cs="宋体"/>
                <w:sz w:val="24"/>
                <w:lang w:val="en-US" w:eastAsia="zh-CN"/>
              </w:rPr>
            </w:pPr>
            <w:r>
              <w:rPr>
                <w:rFonts w:hint="eastAsia" w:ascii="宋体" w:hAnsi="宋体" w:cs="宋体"/>
                <w:sz w:val="24"/>
                <w:lang w:val="en-US" w:eastAsia="zh-CN"/>
              </w:rPr>
              <w:t>6</w:t>
            </w:r>
          </w:p>
        </w:tc>
        <w:tc>
          <w:tcPr>
            <w:tcW w:w="206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lang w:val="en-US" w:eastAsia="zh-CN"/>
              </w:rPr>
            </w:pPr>
            <w:r>
              <w:rPr>
                <w:rFonts w:hint="eastAsia" w:ascii="宋体"/>
                <w:spacing w:val="9"/>
                <w:sz w:val="24"/>
              </w:rPr>
              <w:t>纸面石膏板</w:t>
            </w:r>
          </w:p>
        </w:tc>
        <w:tc>
          <w:tcPr>
            <w:tcW w:w="481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lang w:val="en-US" w:eastAsia="zh-CN"/>
              </w:rPr>
            </w:pPr>
            <w:r>
              <w:rPr>
                <w:rFonts w:hint="eastAsia" w:ascii="宋体"/>
                <w:spacing w:val="9"/>
                <w:sz w:val="24"/>
              </w:rPr>
              <w:t>拉法基、龙牌、可耐福、泰山或经建设方书面认可的上述同档次品牌</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rPr>
            </w:pPr>
          </w:p>
        </w:tc>
      </w:tr>
      <w:tr>
        <w:tblPrEx>
          <w:tblCellMar>
            <w:top w:w="0" w:type="dxa"/>
            <w:left w:w="108" w:type="dxa"/>
            <w:bottom w:w="0" w:type="dxa"/>
            <w:right w:w="108" w:type="dxa"/>
          </w:tblCellMar>
        </w:tblPrEx>
        <w:trPr>
          <w:trHeight w:val="664" w:hRule="atLeast"/>
        </w:trPr>
        <w:tc>
          <w:tcPr>
            <w:tcW w:w="64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宋体" w:hAnsi="宋体" w:cs="宋体"/>
                <w:sz w:val="24"/>
                <w:lang w:val="en-US" w:eastAsia="zh-CN"/>
              </w:rPr>
            </w:pPr>
            <w:r>
              <w:rPr>
                <w:rFonts w:hint="eastAsia" w:ascii="宋体" w:hAnsi="宋体" w:cs="宋体"/>
                <w:sz w:val="24"/>
                <w:lang w:val="en-US" w:eastAsia="zh-CN"/>
              </w:rPr>
              <w:t>7</w:t>
            </w:r>
          </w:p>
        </w:tc>
        <w:tc>
          <w:tcPr>
            <w:tcW w:w="206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lang w:val="en-US" w:eastAsia="zh-CN"/>
              </w:rPr>
            </w:pPr>
            <w:r>
              <w:rPr>
                <w:rFonts w:hint="eastAsia" w:ascii="宋体"/>
                <w:spacing w:val="9"/>
                <w:sz w:val="24"/>
              </w:rPr>
              <w:t>窗台板、洗手台板、门框套、服务台板等20mm厚人造石</w:t>
            </w:r>
          </w:p>
        </w:tc>
        <w:tc>
          <w:tcPr>
            <w:tcW w:w="481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lang w:val="en-US" w:eastAsia="zh-CN"/>
              </w:rPr>
            </w:pPr>
            <w:r>
              <w:rPr>
                <w:rFonts w:hint="eastAsia" w:ascii="宋体"/>
                <w:spacing w:val="9"/>
                <w:sz w:val="24"/>
              </w:rPr>
              <w:t>宝云、如意、三星或经建设方认可的上述同档次品牌</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lang w:val="en-US" w:eastAsia="zh-CN"/>
              </w:rPr>
            </w:pPr>
            <w:r>
              <w:rPr>
                <w:rFonts w:hint="eastAsia" w:ascii="宋体"/>
                <w:spacing w:val="9"/>
                <w:sz w:val="24"/>
              </w:rPr>
              <w:t>样式、颜色进场由建设单位、设计单位确认。</w:t>
            </w:r>
          </w:p>
        </w:tc>
      </w:tr>
      <w:tr>
        <w:tblPrEx>
          <w:tblCellMar>
            <w:top w:w="0" w:type="dxa"/>
            <w:left w:w="108" w:type="dxa"/>
            <w:bottom w:w="0" w:type="dxa"/>
            <w:right w:w="108" w:type="dxa"/>
          </w:tblCellMar>
        </w:tblPrEx>
        <w:trPr>
          <w:trHeight w:val="664" w:hRule="atLeast"/>
        </w:trPr>
        <w:tc>
          <w:tcPr>
            <w:tcW w:w="64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sz w:val="24"/>
                <w:lang w:eastAsia="zh-CN"/>
              </w:rPr>
            </w:pPr>
            <w:r>
              <w:rPr>
                <w:rFonts w:hint="eastAsia" w:ascii="宋体" w:hAnsi="宋体" w:cs="宋体"/>
                <w:sz w:val="24"/>
                <w:lang w:val="en-US" w:eastAsia="zh-CN"/>
              </w:rPr>
              <w:t>8</w:t>
            </w:r>
          </w:p>
        </w:tc>
        <w:tc>
          <w:tcPr>
            <w:tcW w:w="206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rPr>
            </w:pPr>
            <w:r>
              <w:rPr>
                <w:rFonts w:hint="eastAsia" w:ascii="宋体"/>
                <w:spacing w:val="9"/>
                <w:sz w:val="24"/>
              </w:rPr>
              <w:t>铝型材</w:t>
            </w:r>
          </w:p>
        </w:tc>
        <w:tc>
          <w:tcPr>
            <w:tcW w:w="481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rPr>
            </w:pPr>
            <w:r>
              <w:rPr>
                <w:rFonts w:hint="eastAsia" w:ascii="宋体"/>
                <w:spacing w:val="9"/>
                <w:sz w:val="24"/>
              </w:rPr>
              <w:t>广东兴发、江阴海达、坚美或经甲方认可的其他同等档次品牌</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rPr>
            </w:pPr>
          </w:p>
        </w:tc>
      </w:tr>
      <w:tr>
        <w:tblPrEx>
          <w:tblCellMar>
            <w:top w:w="0" w:type="dxa"/>
            <w:left w:w="108" w:type="dxa"/>
            <w:bottom w:w="0" w:type="dxa"/>
            <w:right w:w="108" w:type="dxa"/>
          </w:tblCellMar>
        </w:tblPrEx>
        <w:trPr>
          <w:trHeight w:val="664" w:hRule="atLeast"/>
        </w:trPr>
        <w:tc>
          <w:tcPr>
            <w:tcW w:w="64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宋体" w:hAnsi="宋体" w:eastAsia="宋体" w:cs="宋体"/>
                <w:sz w:val="24"/>
                <w:lang w:val="en-US" w:eastAsia="zh-CN"/>
              </w:rPr>
            </w:pPr>
            <w:r>
              <w:rPr>
                <w:rFonts w:hint="eastAsia" w:ascii="宋体" w:hAnsi="宋体" w:cs="宋体"/>
                <w:sz w:val="24"/>
                <w:lang w:val="en-US" w:eastAsia="zh-CN"/>
              </w:rPr>
              <w:t>9</w:t>
            </w:r>
          </w:p>
        </w:tc>
        <w:tc>
          <w:tcPr>
            <w:tcW w:w="206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rPr>
            </w:pPr>
            <w:r>
              <w:rPr>
                <w:rFonts w:hint="eastAsia" w:ascii="宋体" w:hAnsi="宋体" w:cs="宋体"/>
                <w:kern w:val="2"/>
                <w:sz w:val="24"/>
                <w:szCs w:val="24"/>
                <w:lang w:val="en-US" w:eastAsia="zh-CN" w:bidi="ar-SA"/>
              </w:rPr>
              <w:t>JS防水</w:t>
            </w:r>
          </w:p>
        </w:tc>
        <w:tc>
          <w:tcPr>
            <w:tcW w:w="4819" w:type="dxa"/>
            <w:tcBorders>
              <w:top w:val="single" w:color="auto" w:sz="4" w:space="0"/>
              <w:left w:val="single" w:color="auto" w:sz="4" w:space="0"/>
              <w:bottom w:val="single" w:color="auto" w:sz="4" w:space="0"/>
              <w:right w:val="single" w:color="auto" w:sz="4" w:space="0"/>
            </w:tcBorders>
            <w:noWrap w:val="0"/>
            <w:vAlign w:val="center"/>
          </w:tcPr>
          <w:p>
            <w:pPr>
              <w:widowControl/>
              <w:ind w:right="-107" w:rightChars="-51"/>
              <w:jc w:val="left"/>
              <w:rPr>
                <w:rFonts w:hint="eastAsia" w:ascii="宋体"/>
                <w:spacing w:val="9"/>
                <w:sz w:val="24"/>
              </w:rPr>
            </w:pPr>
            <w:r>
              <w:rPr>
                <w:rFonts w:hint="eastAsia" w:ascii="宋体" w:hAnsi="宋体" w:cs="宋体"/>
                <w:kern w:val="2"/>
                <w:sz w:val="24"/>
                <w:szCs w:val="24"/>
                <w:lang w:val="en-US" w:eastAsia="zh-CN" w:bidi="ar-SA"/>
              </w:rPr>
              <w:t>东方雨虹、科顺、凯伦或经甲方书面认可的上述同档次品牌</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rPr>
            </w:pPr>
          </w:p>
        </w:tc>
      </w:tr>
      <w:tr>
        <w:tblPrEx>
          <w:tblCellMar>
            <w:top w:w="0" w:type="dxa"/>
            <w:left w:w="108" w:type="dxa"/>
            <w:bottom w:w="0" w:type="dxa"/>
            <w:right w:w="108" w:type="dxa"/>
          </w:tblCellMar>
        </w:tblPrEx>
        <w:trPr>
          <w:trHeight w:val="664" w:hRule="atLeast"/>
        </w:trPr>
        <w:tc>
          <w:tcPr>
            <w:tcW w:w="64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sz w:val="24"/>
                <w:lang w:eastAsia="zh-CN"/>
              </w:rPr>
            </w:pPr>
            <w:r>
              <w:rPr>
                <w:rFonts w:hint="eastAsia" w:ascii="宋体" w:hAnsi="宋体" w:cs="宋体"/>
                <w:sz w:val="24"/>
              </w:rPr>
              <w:t>1</w:t>
            </w:r>
            <w:r>
              <w:rPr>
                <w:rFonts w:hint="eastAsia" w:ascii="宋体" w:hAnsi="宋体" w:cs="宋体"/>
                <w:sz w:val="24"/>
                <w:lang w:val="en-US" w:eastAsia="zh-CN"/>
              </w:rPr>
              <w:t>0</w:t>
            </w:r>
          </w:p>
        </w:tc>
        <w:tc>
          <w:tcPr>
            <w:tcW w:w="206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rPr>
            </w:pPr>
            <w:r>
              <w:rPr>
                <w:rFonts w:hint="eastAsia" w:ascii="宋体"/>
                <w:spacing w:val="9"/>
                <w:sz w:val="24"/>
              </w:rPr>
              <w:t>电线、电缆</w:t>
            </w:r>
          </w:p>
        </w:tc>
        <w:tc>
          <w:tcPr>
            <w:tcW w:w="481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rPr>
            </w:pPr>
            <w:r>
              <w:rPr>
                <w:rFonts w:hint="eastAsia" w:ascii="宋体"/>
                <w:spacing w:val="9"/>
                <w:sz w:val="24"/>
              </w:rPr>
              <w:t>上上、远东、江南或经建设方书面认可的上述同档次品牌</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rPr>
            </w:pPr>
          </w:p>
        </w:tc>
      </w:tr>
      <w:tr>
        <w:tblPrEx>
          <w:tblCellMar>
            <w:top w:w="0" w:type="dxa"/>
            <w:left w:w="108" w:type="dxa"/>
            <w:bottom w:w="0" w:type="dxa"/>
            <w:right w:w="108" w:type="dxa"/>
          </w:tblCellMar>
        </w:tblPrEx>
        <w:trPr>
          <w:trHeight w:val="664" w:hRule="atLeast"/>
        </w:trPr>
        <w:tc>
          <w:tcPr>
            <w:tcW w:w="64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sz w:val="24"/>
                <w:lang w:eastAsia="zh-CN"/>
              </w:rPr>
            </w:pPr>
            <w:r>
              <w:rPr>
                <w:rFonts w:hint="eastAsia" w:ascii="宋体" w:hAnsi="宋体" w:cs="宋体"/>
                <w:sz w:val="24"/>
              </w:rPr>
              <w:t>1</w:t>
            </w:r>
            <w:r>
              <w:rPr>
                <w:rFonts w:hint="eastAsia" w:ascii="宋体" w:hAnsi="宋体" w:cs="宋体"/>
                <w:sz w:val="24"/>
                <w:lang w:val="en-US" w:eastAsia="zh-CN"/>
              </w:rPr>
              <w:t>1</w:t>
            </w:r>
          </w:p>
        </w:tc>
        <w:tc>
          <w:tcPr>
            <w:tcW w:w="206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rPr>
            </w:pPr>
            <w:r>
              <w:rPr>
                <w:rFonts w:hint="eastAsia" w:ascii="宋体"/>
                <w:spacing w:val="9"/>
                <w:sz w:val="24"/>
              </w:rPr>
              <w:t>PPR给水管、PVC穿线管及PVC排水管管材</w:t>
            </w:r>
          </w:p>
        </w:tc>
        <w:tc>
          <w:tcPr>
            <w:tcW w:w="481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rPr>
            </w:pPr>
            <w:r>
              <w:rPr>
                <w:rFonts w:hint="eastAsia" w:ascii="宋体"/>
                <w:spacing w:val="9"/>
                <w:sz w:val="24"/>
              </w:rPr>
              <w:t>联塑、河马、中财、日丰或经建设方认可的上述同档次品牌</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rPr>
            </w:pPr>
          </w:p>
        </w:tc>
      </w:tr>
      <w:tr>
        <w:tblPrEx>
          <w:tblCellMar>
            <w:top w:w="0" w:type="dxa"/>
            <w:left w:w="108" w:type="dxa"/>
            <w:bottom w:w="0" w:type="dxa"/>
            <w:right w:w="108" w:type="dxa"/>
          </w:tblCellMar>
        </w:tblPrEx>
        <w:trPr>
          <w:trHeight w:val="664" w:hRule="atLeast"/>
        </w:trPr>
        <w:tc>
          <w:tcPr>
            <w:tcW w:w="64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宋体" w:hAnsi="宋体" w:cs="宋体"/>
                <w:sz w:val="24"/>
                <w:lang w:val="en-US" w:eastAsia="zh-CN"/>
              </w:rPr>
            </w:pPr>
            <w:r>
              <w:rPr>
                <w:rFonts w:hint="eastAsia" w:ascii="宋体" w:hAnsi="宋体" w:cs="宋体"/>
                <w:sz w:val="24"/>
                <w:lang w:val="en-US" w:eastAsia="zh-CN"/>
              </w:rPr>
              <w:t>12</w:t>
            </w:r>
          </w:p>
        </w:tc>
        <w:tc>
          <w:tcPr>
            <w:tcW w:w="206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rPr>
            </w:pPr>
            <w:r>
              <w:rPr>
                <w:rFonts w:hint="eastAsia" w:ascii="宋体"/>
                <w:spacing w:val="9"/>
                <w:sz w:val="24"/>
              </w:rPr>
              <w:t>风扇</w:t>
            </w:r>
          </w:p>
        </w:tc>
        <w:tc>
          <w:tcPr>
            <w:tcW w:w="481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rPr>
            </w:pPr>
            <w:r>
              <w:rPr>
                <w:rFonts w:hint="eastAsia" w:ascii="宋体"/>
                <w:spacing w:val="9"/>
                <w:sz w:val="24"/>
              </w:rPr>
              <w:t>美的、钻石、长城或经建设方书面认可的上述同档次品牌</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rPr>
            </w:pPr>
          </w:p>
        </w:tc>
      </w:tr>
      <w:tr>
        <w:tblPrEx>
          <w:tblCellMar>
            <w:top w:w="0" w:type="dxa"/>
            <w:left w:w="108" w:type="dxa"/>
            <w:bottom w:w="0" w:type="dxa"/>
            <w:right w:w="108" w:type="dxa"/>
          </w:tblCellMar>
        </w:tblPrEx>
        <w:trPr>
          <w:trHeight w:val="664" w:hRule="atLeast"/>
        </w:trPr>
        <w:tc>
          <w:tcPr>
            <w:tcW w:w="64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宋体" w:hAnsi="宋体" w:cs="宋体"/>
                <w:sz w:val="24"/>
                <w:lang w:val="en-US" w:eastAsia="zh-CN"/>
              </w:rPr>
            </w:pPr>
            <w:r>
              <w:rPr>
                <w:rFonts w:hint="eastAsia" w:ascii="宋体" w:hAnsi="宋体" w:cs="宋体"/>
                <w:sz w:val="24"/>
                <w:lang w:val="en-US" w:eastAsia="zh-CN"/>
              </w:rPr>
              <w:t>13</w:t>
            </w:r>
          </w:p>
        </w:tc>
        <w:tc>
          <w:tcPr>
            <w:tcW w:w="206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rPr>
            </w:pPr>
            <w:r>
              <w:rPr>
                <w:rFonts w:hint="eastAsia" w:ascii="宋体"/>
                <w:spacing w:val="9"/>
                <w:sz w:val="24"/>
              </w:rPr>
              <w:t>灯具、开关插座</w:t>
            </w:r>
          </w:p>
        </w:tc>
        <w:tc>
          <w:tcPr>
            <w:tcW w:w="481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rPr>
            </w:pPr>
            <w:r>
              <w:rPr>
                <w:rFonts w:hint="eastAsia" w:ascii="宋体"/>
                <w:spacing w:val="9"/>
                <w:sz w:val="24"/>
              </w:rPr>
              <w:t>欧普、雷士、飞利浦或经建设方认可的上述同档次品牌</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rPr>
            </w:pPr>
          </w:p>
        </w:tc>
      </w:tr>
      <w:tr>
        <w:tblPrEx>
          <w:tblCellMar>
            <w:top w:w="0" w:type="dxa"/>
            <w:left w:w="108" w:type="dxa"/>
            <w:bottom w:w="0" w:type="dxa"/>
            <w:right w:w="108" w:type="dxa"/>
          </w:tblCellMar>
        </w:tblPrEx>
        <w:trPr>
          <w:trHeight w:val="664" w:hRule="atLeast"/>
        </w:trPr>
        <w:tc>
          <w:tcPr>
            <w:tcW w:w="64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宋体" w:hAnsi="宋体" w:cs="宋体"/>
                <w:sz w:val="24"/>
                <w:lang w:val="en-US" w:eastAsia="zh-CN"/>
              </w:rPr>
            </w:pPr>
            <w:r>
              <w:rPr>
                <w:rFonts w:hint="eastAsia" w:ascii="宋体" w:hAnsi="宋体" w:cs="宋体"/>
                <w:sz w:val="24"/>
                <w:lang w:val="en-US" w:eastAsia="zh-CN"/>
              </w:rPr>
              <w:t>14</w:t>
            </w:r>
          </w:p>
        </w:tc>
        <w:tc>
          <w:tcPr>
            <w:tcW w:w="206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eastAsia="宋体"/>
                <w:spacing w:val="9"/>
                <w:kern w:val="2"/>
                <w:sz w:val="24"/>
                <w:szCs w:val="24"/>
                <w:lang w:val="en-US" w:eastAsia="zh-CN" w:bidi="ar-SA"/>
              </w:rPr>
            </w:pPr>
            <w:r>
              <w:rPr>
                <w:rFonts w:hint="eastAsia" w:ascii="宋体"/>
                <w:spacing w:val="9"/>
                <w:sz w:val="24"/>
                <w:lang w:eastAsia="zh-CN"/>
              </w:rPr>
              <w:t>洁具</w:t>
            </w:r>
          </w:p>
        </w:tc>
        <w:tc>
          <w:tcPr>
            <w:tcW w:w="481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kern w:val="2"/>
                <w:sz w:val="24"/>
                <w:szCs w:val="24"/>
                <w:lang w:val="en-US" w:eastAsia="zh-CN" w:bidi="ar-SA"/>
              </w:rPr>
            </w:pPr>
            <w:r>
              <w:rPr>
                <w:rFonts w:hint="eastAsia" w:ascii="宋体"/>
                <w:spacing w:val="9"/>
                <w:sz w:val="24"/>
                <w:lang w:eastAsia="zh-CN"/>
              </w:rPr>
              <w:t>恒洁</w:t>
            </w:r>
            <w:r>
              <w:rPr>
                <w:rFonts w:hint="eastAsia" w:ascii="宋体"/>
                <w:spacing w:val="9"/>
                <w:sz w:val="24"/>
              </w:rPr>
              <w:t>、</w:t>
            </w:r>
            <w:r>
              <w:rPr>
                <w:rFonts w:hint="eastAsia" w:ascii="宋体"/>
                <w:spacing w:val="9"/>
                <w:sz w:val="24"/>
                <w:lang w:eastAsia="zh-CN"/>
              </w:rPr>
              <w:t>法恩莎</w:t>
            </w:r>
            <w:r>
              <w:rPr>
                <w:rFonts w:hint="eastAsia" w:ascii="宋体"/>
                <w:spacing w:val="9"/>
                <w:sz w:val="24"/>
              </w:rPr>
              <w:t>、</w:t>
            </w:r>
            <w:r>
              <w:rPr>
                <w:rFonts w:hint="eastAsia" w:ascii="宋体"/>
                <w:spacing w:val="9"/>
                <w:sz w:val="24"/>
                <w:lang w:eastAsia="zh-CN"/>
              </w:rPr>
              <w:t>惠达</w:t>
            </w:r>
            <w:r>
              <w:rPr>
                <w:rFonts w:hint="eastAsia" w:ascii="宋体"/>
                <w:spacing w:val="9"/>
                <w:sz w:val="24"/>
              </w:rPr>
              <w:t>或经建设方书面认可的上述同档次品牌</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rPr>
            </w:pPr>
          </w:p>
        </w:tc>
      </w:tr>
      <w:tr>
        <w:tblPrEx>
          <w:tblCellMar>
            <w:top w:w="0" w:type="dxa"/>
            <w:left w:w="108" w:type="dxa"/>
            <w:bottom w:w="0" w:type="dxa"/>
            <w:right w:w="108" w:type="dxa"/>
          </w:tblCellMar>
        </w:tblPrEx>
        <w:trPr>
          <w:trHeight w:val="664" w:hRule="atLeast"/>
        </w:trPr>
        <w:tc>
          <w:tcPr>
            <w:tcW w:w="64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宋体" w:hAnsi="宋体" w:cs="宋体"/>
                <w:sz w:val="24"/>
                <w:lang w:val="en-US" w:eastAsia="zh-CN"/>
              </w:rPr>
            </w:pPr>
            <w:r>
              <w:rPr>
                <w:rFonts w:hint="eastAsia" w:ascii="宋体" w:hAnsi="宋体" w:cs="宋体"/>
                <w:sz w:val="24"/>
                <w:lang w:val="en-US" w:eastAsia="zh-CN"/>
              </w:rPr>
              <w:t>15</w:t>
            </w:r>
          </w:p>
        </w:tc>
        <w:tc>
          <w:tcPr>
            <w:tcW w:w="206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Times New Roman" w:eastAsia="宋体" w:cs="Times New Roman"/>
                <w:spacing w:val="9"/>
                <w:kern w:val="2"/>
                <w:sz w:val="24"/>
                <w:szCs w:val="24"/>
                <w:lang w:val="en-US" w:eastAsia="zh-CN" w:bidi="ar-SA"/>
              </w:rPr>
            </w:pPr>
            <w:r>
              <w:rPr>
                <w:rFonts w:hint="eastAsia" w:ascii="宋体" w:hAnsi="Times New Roman" w:eastAsia="宋体" w:cs="Times New Roman"/>
                <w:spacing w:val="9"/>
                <w:sz w:val="24"/>
              </w:rPr>
              <w:t>配电箱</w:t>
            </w:r>
          </w:p>
        </w:tc>
        <w:tc>
          <w:tcPr>
            <w:tcW w:w="481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Times New Roman" w:eastAsia="宋体" w:cs="Times New Roman"/>
                <w:spacing w:val="9"/>
                <w:kern w:val="2"/>
                <w:sz w:val="24"/>
                <w:szCs w:val="24"/>
                <w:lang w:val="en-US" w:eastAsia="zh-CN" w:bidi="ar-SA"/>
              </w:rPr>
            </w:pPr>
            <w:r>
              <w:rPr>
                <w:rFonts w:hint="eastAsia" w:ascii="宋体" w:hAnsi="Times New Roman" w:eastAsia="宋体" w:cs="Times New Roman"/>
                <w:spacing w:val="9"/>
                <w:sz w:val="24"/>
              </w:rPr>
              <w:t>德力西、TCL、正泰或经建设方认可的上述同档次品牌</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spacing w:val="9"/>
                <w:sz w:val="24"/>
              </w:rPr>
            </w:pPr>
          </w:p>
        </w:tc>
      </w:tr>
    </w:tbl>
    <w:p>
      <w:pPr>
        <w:spacing w:line="360" w:lineRule="auto"/>
        <w:ind w:firstLine="480" w:firstLineChars="200"/>
        <w:jc w:val="left"/>
        <w:rPr>
          <w:rFonts w:hint="eastAsia" w:cs="宋体" w:asciiTheme="minorEastAsia" w:hAnsiTheme="minorEastAsia"/>
          <w:sz w:val="24"/>
          <w:lang w:val="en-US" w:eastAsia="zh-CN"/>
        </w:rPr>
      </w:pPr>
    </w:p>
    <w:p>
      <w:pPr>
        <w:spacing w:line="360" w:lineRule="auto"/>
        <w:jc w:val="left"/>
        <w:rPr>
          <w:rFonts w:hint="eastAsia" w:cs="宋体" w:asciiTheme="minorEastAsia" w:hAnsiTheme="minorEastAsia"/>
          <w:sz w:val="24"/>
          <w:lang w:val="en-US" w:eastAsia="zh-CN"/>
        </w:rPr>
      </w:pPr>
    </w:p>
    <w:p>
      <w:pPr>
        <w:spacing w:line="360" w:lineRule="auto"/>
        <w:jc w:val="left"/>
        <w:rPr>
          <w:rFonts w:hint="default" w:cs="宋体" w:asciiTheme="minorEastAsia" w:hAnsiTheme="minorEastAsia"/>
          <w:sz w:val="24"/>
          <w:lang w:val="en-US" w:eastAsia="zh-CN"/>
        </w:rPr>
      </w:pPr>
      <w:bookmarkStart w:id="0" w:name="_GoBack"/>
      <w:bookmarkEnd w:id="0"/>
    </w:p>
    <w:p>
      <w:pPr>
        <w:spacing w:line="360" w:lineRule="auto"/>
        <w:ind w:firstLine="4560" w:firstLineChars="1900"/>
        <w:rPr>
          <w:rFonts w:asciiTheme="minorEastAsia" w:hAnsiTheme="minorEastAsia"/>
          <w:sz w:val="24"/>
        </w:rPr>
      </w:pPr>
      <w:r>
        <w:rPr>
          <w:rFonts w:hint="eastAsia" w:asciiTheme="minorEastAsia" w:hAnsiTheme="minorEastAsia"/>
          <w:sz w:val="24"/>
          <w:lang w:val="en-US" w:eastAsia="zh-CN"/>
        </w:rPr>
        <w:t>常州市城投建设工程招标</w:t>
      </w:r>
      <w:r>
        <w:rPr>
          <w:rFonts w:hint="eastAsia" w:asciiTheme="minorEastAsia" w:hAnsiTheme="minorEastAsia"/>
          <w:sz w:val="24"/>
        </w:rPr>
        <w:t>有限公司</w:t>
      </w:r>
    </w:p>
    <w:p>
      <w:pPr>
        <w:spacing w:line="360" w:lineRule="auto"/>
        <w:ind w:firstLine="5760" w:firstLineChars="2400"/>
        <w:rPr>
          <w:rFonts w:hint="default" w:ascii="Calibri" w:hAnsi="Calibri" w:eastAsiaTheme="minorEastAsia"/>
          <w:szCs w:val="21"/>
          <w:lang w:val="en-US" w:eastAsia="zh-CN"/>
        </w:rPr>
      </w:pPr>
      <w:r>
        <w:rPr>
          <w:rFonts w:hint="eastAsia" w:asciiTheme="minorEastAsia" w:hAnsiTheme="minorEastAsia"/>
          <w:sz w:val="24"/>
        </w:rPr>
        <w:t>202</w:t>
      </w:r>
      <w:r>
        <w:rPr>
          <w:rFonts w:hint="eastAsia" w:asciiTheme="minorEastAsia" w:hAnsiTheme="minorEastAsia"/>
          <w:sz w:val="24"/>
          <w:lang w:val="en-US" w:eastAsia="zh-CN"/>
        </w:rPr>
        <w:t>2.6.17</w:t>
      </w:r>
    </w:p>
    <w:sectPr>
      <w:pgSz w:w="11906" w:h="16838"/>
      <w:pgMar w:top="1270" w:right="1800" w:bottom="93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mMyMjc0ODUwNmM3MjViNGYxYjA2OGY4MGViZjkxNmMifQ=="/>
  </w:docVars>
  <w:rsids>
    <w:rsidRoot w:val="78361017"/>
    <w:rsid w:val="00016CEC"/>
    <w:rsid w:val="000438A7"/>
    <w:rsid w:val="00064F47"/>
    <w:rsid w:val="000E02E9"/>
    <w:rsid w:val="00100BFE"/>
    <w:rsid w:val="00143292"/>
    <w:rsid w:val="00152FA3"/>
    <w:rsid w:val="001838C9"/>
    <w:rsid w:val="001E6349"/>
    <w:rsid w:val="0020433B"/>
    <w:rsid w:val="002171D2"/>
    <w:rsid w:val="00247032"/>
    <w:rsid w:val="002544E7"/>
    <w:rsid w:val="002575F4"/>
    <w:rsid w:val="002B5EAA"/>
    <w:rsid w:val="002C2AD3"/>
    <w:rsid w:val="002E6D8E"/>
    <w:rsid w:val="002F41F6"/>
    <w:rsid w:val="0036424A"/>
    <w:rsid w:val="003672DC"/>
    <w:rsid w:val="003C5AA0"/>
    <w:rsid w:val="003C5BFB"/>
    <w:rsid w:val="003D4563"/>
    <w:rsid w:val="004269FE"/>
    <w:rsid w:val="0048145E"/>
    <w:rsid w:val="0048555D"/>
    <w:rsid w:val="00493F0A"/>
    <w:rsid w:val="004A0581"/>
    <w:rsid w:val="004D5688"/>
    <w:rsid w:val="00505FC4"/>
    <w:rsid w:val="005356C3"/>
    <w:rsid w:val="0054025C"/>
    <w:rsid w:val="00553E9F"/>
    <w:rsid w:val="00586D33"/>
    <w:rsid w:val="005B0BFE"/>
    <w:rsid w:val="005C1353"/>
    <w:rsid w:val="005F1694"/>
    <w:rsid w:val="006305E6"/>
    <w:rsid w:val="0064559E"/>
    <w:rsid w:val="00647F30"/>
    <w:rsid w:val="0067028C"/>
    <w:rsid w:val="00680A3D"/>
    <w:rsid w:val="006D728C"/>
    <w:rsid w:val="006F2FC1"/>
    <w:rsid w:val="00753550"/>
    <w:rsid w:val="007D4E8A"/>
    <w:rsid w:val="008338AE"/>
    <w:rsid w:val="00845410"/>
    <w:rsid w:val="008508BB"/>
    <w:rsid w:val="0087569F"/>
    <w:rsid w:val="008831B1"/>
    <w:rsid w:val="008B0F3E"/>
    <w:rsid w:val="008C2D83"/>
    <w:rsid w:val="008D5029"/>
    <w:rsid w:val="008E7233"/>
    <w:rsid w:val="00913D43"/>
    <w:rsid w:val="0091770D"/>
    <w:rsid w:val="009302EF"/>
    <w:rsid w:val="00937456"/>
    <w:rsid w:val="009530A9"/>
    <w:rsid w:val="00982A16"/>
    <w:rsid w:val="009D4E62"/>
    <w:rsid w:val="00AA79C6"/>
    <w:rsid w:val="00AC7145"/>
    <w:rsid w:val="00AF4634"/>
    <w:rsid w:val="00B14879"/>
    <w:rsid w:val="00B76C4B"/>
    <w:rsid w:val="00BA4537"/>
    <w:rsid w:val="00BF0703"/>
    <w:rsid w:val="00C01CD9"/>
    <w:rsid w:val="00C243EF"/>
    <w:rsid w:val="00C71D8F"/>
    <w:rsid w:val="00CA0DA7"/>
    <w:rsid w:val="00CC0E51"/>
    <w:rsid w:val="00D67571"/>
    <w:rsid w:val="00D803AB"/>
    <w:rsid w:val="00D93BBF"/>
    <w:rsid w:val="00DB2C6B"/>
    <w:rsid w:val="00E25D8C"/>
    <w:rsid w:val="00E458AA"/>
    <w:rsid w:val="00E604BD"/>
    <w:rsid w:val="00E8050C"/>
    <w:rsid w:val="00E859F9"/>
    <w:rsid w:val="00E96B4F"/>
    <w:rsid w:val="00EB3E9F"/>
    <w:rsid w:val="00EB7352"/>
    <w:rsid w:val="00ED4EBE"/>
    <w:rsid w:val="00F03DDC"/>
    <w:rsid w:val="00FD2EDD"/>
    <w:rsid w:val="00FD2EE3"/>
    <w:rsid w:val="00FD6FCD"/>
    <w:rsid w:val="00FF01FE"/>
    <w:rsid w:val="02B35632"/>
    <w:rsid w:val="07D94E47"/>
    <w:rsid w:val="08714C92"/>
    <w:rsid w:val="08B1314F"/>
    <w:rsid w:val="096D32B3"/>
    <w:rsid w:val="09FA1A4D"/>
    <w:rsid w:val="0A062BC2"/>
    <w:rsid w:val="0B5001B3"/>
    <w:rsid w:val="0B6C0341"/>
    <w:rsid w:val="0B8C71AA"/>
    <w:rsid w:val="0C484F66"/>
    <w:rsid w:val="0C8D3AAD"/>
    <w:rsid w:val="0EFC30BB"/>
    <w:rsid w:val="10305DCD"/>
    <w:rsid w:val="126170C1"/>
    <w:rsid w:val="129134B6"/>
    <w:rsid w:val="13EC77E2"/>
    <w:rsid w:val="147014C1"/>
    <w:rsid w:val="1758759C"/>
    <w:rsid w:val="17802191"/>
    <w:rsid w:val="18910D0B"/>
    <w:rsid w:val="1A092C9A"/>
    <w:rsid w:val="1A902CBE"/>
    <w:rsid w:val="1C1E62FF"/>
    <w:rsid w:val="1EED7F7A"/>
    <w:rsid w:val="20E7351D"/>
    <w:rsid w:val="221958FB"/>
    <w:rsid w:val="24700EB4"/>
    <w:rsid w:val="24A31DAF"/>
    <w:rsid w:val="2584489B"/>
    <w:rsid w:val="260B579F"/>
    <w:rsid w:val="27CF50B2"/>
    <w:rsid w:val="284553B4"/>
    <w:rsid w:val="29383010"/>
    <w:rsid w:val="294609CE"/>
    <w:rsid w:val="2ACB56A5"/>
    <w:rsid w:val="2B032D2F"/>
    <w:rsid w:val="2B947461"/>
    <w:rsid w:val="2D3D7B08"/>
    <w:rsid w:val="2EBE7431"/>
    <w:rsid w:val="2FBD203A"/>
    <w:rsid w:val="32811051"/>
    <w:rsid w:val="35D320EF"/>
    <w:rsid w:val="36AE456E"/>
    <w:rsid w:val="373B0A61"/>
    <w:rsid w:val="3B3A2DF7"/>
    <w:rsid w:val="3B662930"/>
    <w:rsid w:val="3DA23CB8"/>
    <w:rsid w:val="41D3399B"/>
    <w:rsid w:val="42020A85"/>
    <w:rsid w:val="42665955"/>
    <w:rsid w:val="428C42F8"/>
    <w:rsid w:val="44C567BE"/>
    <w:rsid w:val="44D4435B"/>
    <w:rsid w:val="457E3758"/>
    <w:rsid w:val="45D00471"/>
    <w:rsid w:val="467101CE"/>
    <w:rsid w:val="46B34867"/>
    <w:rsid w:val="470F730E"/>
    <w:rsid w:val="4BB01B20"/>
    <w:rsid w:val="4C4109B4"/>
    <w:rsid w:val="4EF57116"/>
    <w:rsid w:val="4F01466A"/>
    <w:rsid w:val="50A07A99"/>
    <w:rsid w:val="51741E7C"/>
    <w:rsid w:val="51E950B7"/>
    <w:rsid w:val="522649CA"/>
    <w:rsid w:val="522D4B2B"/>
    <w:rsid w:val="52611B29"/>
    <w:rsid w:val="530A05AF"/>
    <w:rsid w:val="53634D2D"/>
    <w:rsid w:val="54930C6A"/>
    <w:rsid w:val="54A70C44"/>
    <w:rsid w:val="551A391F"/>
    <w:rsid w:val="55C20708"/>
    <w:rsid w:val="561073E9"/>
    <w:rsid w:val="56444E85"/>
    <w:rsid w:val="5E0A2A5B"/>
    <w:rsid w:val="5E1D538D"/>
    <w:rsid w:val="5E2D3EF3"/>
    <w:rsid w:val="5EA12711"/>
    <w:rsid w:val="5FD73FDE"/>
    <w:rsid w:val="6033204C"/>
    <w:rsid w:val="60ED7BD8"/>
    <w:rsid w:val="60FA26D8"/>
    <w:rsid w:val="6396613F"/>
    <w:rsid w:val="63F93742"/>
    <w:rsid w:val="65A62D78"/>
    <w:rsid w:val="66AA43B3"/>
    <w:rsid w:val="66AD4DB8"/>
    <w:rsid w:val="67280F2E"/>
    <w:rsid w:val="694B4341"/>
    <w:rsid w:val="6994700E"/>
    <w:rsid w:val="69EC1E2F"/>
    <w:rsid w:val="6BB45612"/>
    <w:rsid w:val="6BC44E95"/>
    <w:rsid w:val="6C767982"/>
    <w:rsid w:val="6CBA65C0"/>
    <w:rsid w:val="6D7B3098"/>
    <w:rsid w:val="6E6C4BB6"/>
    <w:rsid w:val="6E947C7B"/>
    <w:rsid w:val="6F21423E"/>
    <w:rsid w:val="6F7B5D8F"/>
    <w:rsid w:val="6F874E4F"/>
    <w:rsid w:val="70DC2814"/>
    <w:rsid w:val="72202FDB"/>
    <w:rsid w:val="76840604"/>
    <w:rsid w:val="77823C03"/>
    <w:rsid w:val="778A0A55"/>
    <w:rsid w:val="77EC65BC"/>
    <w:rsid w:val="78361017"/>
    <w:rsid w:val="78C6699C"/>
    <w:rsid w:val="7AAC2CCB"/>
    <w:rsid w:val="7B4A6441"/>
    <w:rsid w:val="7BE869D6"/>
    <w:rsid w:val="7D271E29"/>
    <w:rsid w:val="7D2A16F6"/>
    <w:rsid w:val="7D9E1DED"/>
    <w:rsid w:val="7F182B5B"/>
    <w:rsid w:val="7F683B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link w:val="13"/>
    <w:qFormat/>
    <w:uiPriority w:val="0"/>
    <w:pPr>
      <w:tabs>
        <w:tab w:val="center" w:pos="4153"/>
        <w:tab w:val="right" w:pos="8306"/>
      </w:tabs>
      <w:snapToGrid w:val="0"/>
      <w:jc w:val="left"/>
    </w:pPr>
    <w:rPr>
      <w:sz w:val="18"/>
      <w:szCs w:val="18"/>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font01"/>
    <w:basedOn w:val="7"/>
    <w:qFormat/>
    <w:uiPriority w:val="0"/>
    <w:rPr>
      <w:rFonts w:hint="eastAsia" w:ascii="宋体" w:hAnsi="宋体" w:eastAsia="宋体" w:cs="宋体"/>
      <w:color w:val="000000"/>
      <w:sz w:val="24"/>
      <w:szCs w:val="24"/>
      <w:u w:val="none"/>
    </w:rPr>
  </w:style>
  <w:style w:type="character" w:customStyle="1" w:styleId="9">
    <w:name w:val="font11"/>
    <w:basedOn w:val="7"/>
    <w:qFormat/>
    <w:uiPriority w:val="0"/>
    <w:rPr>
      <w:rFonts w:hint="default" w:ascii="Tahoma" w:hAnsi="Tahoma" w:eastAsia="Tahoma" w:cs="Tahoma"/>
      <w:color w:val="000000"/>
      <w:sz w:val="24"/>
      <w:szCs w:val="24"/>
      <w:u w:val="none"/>
    </w:rPr>
  </w:style>
  <w:style w:type="paragraph" w:styleId="10">
    <w:name w:val="List Paragraph"/>
    <w:basedOn w:val="1"/>
    <w:qFormat/>
    <w:uiPriority w:val="34"/>
    <w:pPr>
      <w:ind w:firstLine="420" w:firstLineChars="200"/>
    </w:pPr>
  </w:style>
  <w:style w:type="character" w:customStyle="1" w:styleId="11">
    <w:name w:val="批注框文本 Char"/>
    <w:basedOn w:val="7"/>
    <w:link w:val="2"/>
    <w:qFormat/>
    <w:uiPriority w:val="0"/>
    <w:rPr>
      <w:rFonts w:asciiTheme="minorHAnsi" w:hAnsiTheme="minorHAnsi" w:eastAsiaTheme="minorEastAsia" w:cstheme="minorBidi"/>
      <w:kern w:val="2"/>
      <w:sz w:val="18"/>
      <w:szCs w:val="18"/>
    </w:rPr>
  </w:style>
  <w:style w:type="character" w:customStyle="1" w:styleId="12">
    <w:name w:val="页眉 Char"/>
    <w:basedOn w:val="7"/>
    <w:link w:val="4"/>
    <w:qFormat/>
    <w:uiPriority w:val="0"/>
    <w:rPr>
      <w:rFonts w:asciiTheme="minorHAnsi" w:hAnsiTheme="minorHAnsi" w:eastAsiaTheme="minorEastAsia" w:cstheme="minorBidi"/>
      <w:kern w:val="2"/>
      <w:sz w:val="18"/>
      <w:szCs w:val="18"/>
    </w:rPr>
  </w:style>
  <w:style w:type="character" w:customStyle="1" w:styleId="13">
    <w:name w:val="页脚 Char"/>
    <w:basedOn w:val="7"/>
    <w:link w:val="3"/>
    <w:qFormat/>
    <w:uiPriority w:val="0"/>
    <w:rPr>
      <w:rFonts w:asciiTheme="minorHAnsi" w:hAnsiTheme="minorHAnsi" w:eastAsiaTheme="minorEastAsia" w:cstheme="minorBidi"/>
      <w:kern w:val="2"/>
      <w:sz w:val="18"/>
      <w:szCs w:val="18"/>
    </w:rPr>
  </w:style>
  <w:style w:type="character" w:customStyle="1" w:styleId="14">
    <w:name w:val="15"/>
    <w:basedOn w:val="7"/>
    <w:qFormat/>
    <w:uiPriority w:val="0"/>
    <w:rPr>
      <w:rFonts w:hint="default" w:ascii="Tahoma" w:hAnsi="Tahoma" w:cs="Tahoma"/>
      <w:color w:val="000000"/>
      <w:sz w:val="24"/>
      <w:szCs w:val="24"/>
    </w:rPr>
  </w:style>
  <w:style w:type="character" w:customStyle="1" w:styleId="15">
    <w:name w:val="16"/>
    <w:basedOn w:val="7"/>
    <w:qFormat/>
    <w:uiPriority w:val="0"/>
    <w:rPr>
      <w:rFonts w:hint="eastAsia" w:ascii="宋体" w:hAnsi="宋体" w:eastAsia="宋体"/>
      <w:color w:val="00000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2040</Words>
  <Characters>2208</Characters>
  <Lines>48</Lines>
  <Paragraphs>13</Paragraphs>
  <TotalTime>4</TotalTime>
  <ScaleCrop>false</ScaleCrop>
  <LinksUpToDate>false</LinksUpToDate>
  <CharactersWithSpaces>2216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2019-12-02T13:52:00Z</dcterms:created>
  <dc:creator>国国</dc:creator>
  <cp:lastModifiedBy>SK-hunter</cp:lastModifiedBy>
  <cp:lastPrinted>2019-12-06T00:24:00Z</cp:lastPrinted>
  <dcterms:modified xsi:type="dcterms:W3CDTF">2022-06-20T00:31:20Z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FFE5AD5F5D2E41A999B15F366C05B5EE</vt:lpwstr>
  </property>
</Properties>
</file>