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line="240" w:lineRule="auto"/>
        <w:jc w:val="center"/>
        <w:rPr>
          <w:rFonts w:ascii="仿宋" w:hAnsi="仿宋" w:eastAsia="仿宋"/>
          <w:sz w:val="32"/>
          <w:szCs w:val="32"/>
        </w:rPr>
      </w:pPr>
      <w:r>
        <w:rPr>
          <w:rFonts w:ascii="仿宋" w:hAnsi="仿宋" w:eastAsia="仿宋"/>
          <w:sz w:val="32"/>
          <w:szCs w:val="32"/>
        </w:rPr>
        <w:t>编</w:t>
      </w:r>
      <w:r>
        <w:rPr>
          <w:rFonts w:hint="eastAsia" w:ascii="仿宋" w:hAnsi="仿宋" w:eastAsia="仿宋"/>
          <w:sz w:val="32"/>
          <w:szCs w:val="32"/>
          <w:lang w:val="en-US" w:eastAsia="zh-CN"/>
        </w:rPr>
        <w:t xml:space="preserve"> </w:t>
      </w:r>
      <w:r>
        <w:rPr>
          <w:rFonts w:ascii="仿宋" w:hAnsi="仿宋" w:eastAsia="仿宋"/>
          <w:sz w:val="32"/>
          <w:szCs w:val="32"/>
        </w:rPr>
        <w:t>制</w:t>
      </w:r>
      <w:r>
        <w:rPr>
          <w:rFonts w:hint="eastAsia" w:ascii="仿宋" w:hAnsi="仿宋" w:eastAsia="仿宋"/>
          <w:sz w:val="32"/>
          <w:szCs w:val="32"/>
          <w:lang w:val="en-US" w:eastAsia="zh-CN"/>
        </w:rPr>
        <w:t xml:space="preserve"> </w:t>
      </w:r>
      <w:r>
        <w:rPr>
          <w:rFonts w:ascii="仿宋" w:hAnsi="仿宋" w:eastAsia="仿宋"/>
          <w:sz w:val="32"/>
          <w:szCs w:val="32"/>
        </w:rPr>
        <w:t>说</w:t>
      </w:r>
      <w:r>
        <w:rPr>
          <w:rFonts w:hint="eastAsia" w:ascii="仿宋" w:hAnsi="仿宋" w:eastAsia="仿宋"/>
          <w:sz w:val="32"/>
          <w:szCs w:val="32"/>
          <w:lang w:val="en-US" w:eastAsia="zh-CN"/>
        </w:rPr>
        <w:t xml:space="preserve"> </w:t>
      </w:r>
      <w:r>
        <w:rPr>
          <w:rFonts w:ascii="仿宋" w:hAnsi="仿宋" w:eastAsia="仿宋"/>
          <w:sz w:val="32"/>
          <w:szCs w:val="32"/>
        </w:rPr>
        <w:t>明</w:t>
      </w:r>
    </w:p>
    <w:p>
      <w:pPr>
        <w:numPr>
          <w:ilvl w:val="0"/>
          <w:numId w:val="1"/>
        </w:numPr>
        <w:rPr>
          <w:rFonts w:hint="eastAsia" w:ascii="仿宋" w:hAnsi="仿宋" w:eastAsia="仿宋"/>
          <w:sz w:val="32"/>
          <w:szCs w:val="32"/>
          <w:lang w:val="en-US" w:eastAsia="zh-CN"/>
        </w:rPr>
      </w:pPr>
      <w:r>
        <w:rPr>
          <w:rFonts w:hint="eastAsia" w:ascii="仿宋" w:hAnsi="仿宋" w:eastAsia="仿宋"/>
          <w:sz w:val="32"/>
          <w:szCs w:val="32"/>
          <w:lang w:val="en-US" w:eastAsia="zh-CN"/>
        </w:rPr>
        <w:t>编制依据</w:t>
      </w:r>
    </w:p>
    <w:p>
      <w:pPr>
        <w:numPr>
          <w:ilvl w:val="0"/>
          <w:numId w:val="2"/>
        </w:numPr>
        <w:ind w:left="480" w:leftChars="0" w:firstLine="0" w:firstLineChars="0"/>
        <w:rPr>
          <w:rFonts w:hint="eastAsia" w:ascii="仿宋" w:hAnsi="仿宋" w:eastAsia="仿宋"/>
          <w:sz w:val="32"/>
          <w:szCs w:val="32"/>
          <w:lang w:val="en-US" w:eastAsia="zh-CN"/>
        </w:rPr>
      </w:pPr>
      <w:r>
        <w:rPr>
          <w:rFonts w:hint="eastAsia" w:ascii="仿宋" w:hAnsi="仿宋" w:eastAsia="仿宋"/>
          <w:sz w:val="32"/>
          <w:szCs w:val="32"/>
          <w:lang w:val="en-US" w:eastAsia="zh-CN"/>
        </w:rPr>
        <w:t>设计图纸及设计技术参数要求；</w:t>
      </w:r>
    </w:p>
    <w:p>
      <w:pPr>
        <w:numPr>
          <w:ilvl w:val="0"/>
          <w:numId w:val="2"/>
        </w:numPr>
        <w:ind w:left="480" w:leftChars="0" w:firstLine="0" w:firstLineChars="0"/>
        <w:rPr>
          <w:rFonts w:hint="default" w:ascii="仿宋" w:hAnsi="仿宋" w:eastAsia="仿宋"/>
          <w:sz w:val="32"/>
          <w:szCs w:val="32"/>
          <w:lang w:val="en-US" w:eastAsia="zh-CN"/>
        </w:rPr>
      </w:pPr>
      <w:r>
        <w:rPr>
          <w:rFonts w:hint="eastAsia" w:ascii="仿宋" w:hAnsi="仿宋" w:eastAsia="仿宋"/>
          <w:sz w:val="32"/>
          <w:szCs w:val="32"/>
          <w:lang w:val="en-US" w:eastAsia="zh-CN"/>
        </w:rPr>
        <w:t>常州市2022年8月份信息价。</w:t>
      </w:r>
    </w:p>
    <w:p>
      <w:pPr>
        <w:numPr>
          <w:ilvl w:val="0"/>
          <w:numId w:val="0"/>
        </w:numPr>
        <w:snapToGrid w:val="0"/>
        <w:spacing w:before="0" w:after="0" w:line="500" w:lineRule="exact"/>
        <w:jc w:val="both"/>
        <w:rPr>
          <w:rFonts w:hint="default" w:ascii="仿宋" w:hAnsi="仿宋" w:eastAsia="仿宋"/>
          <w:b/>
          <w:bCs/>
          <w:color w:val="000000"/>
          <w:sz w:val="28"/>
          <w:szCs w:val="28"/>
          <w:lang w:val="en-US" w:eastAsia="zh-CN"/>
        </w:rPr>
      </w:pPr>
      <w:r>
        <w:rPr>
          <w:rFonts w:hint="eastAsia" w:ascii="仿宋" w:hAnsi="仿宋" w:eastAsia="仿宋"/>
          <w:sz w:val="32"/>
          <w:szCs w:val="32"/>
          <w:lang w:val="en-US" w:eastAsia="zh-CN"/>
        </w:rPr>
        <w:t>二、报价要求</w:t>
      </w:r>
    </w:p>
    <w:p>
      <w:pPr>
        <w:snapToGrid w:val="0"/>
        <w:spacing w:before="0" w:after="0" w:line="500" w:lineRule="exact"/>
        <w:ind w:firstLineChars="150"/>
        <w:jc w:val="both"/>
        <w:rPr>
          <w:rFonts w:ascii="仿宋" w:hAnsi="仿宋" w:eastAsia="仿宋"/>
          <w:color w:val="000000"/>
          <w:sz w:val="28"/>
          <w:szCs w:val="28"/>
        </w:rPr>
      </w:pPr>
      <w:r>
        <w:rPr>
          <w:rFonts w:ascii="仿宋" w:hAnsi="仿宋" w:eastAsia="仿宋"/>
          <w:color w:val="000000"/>
          <w:sz w:val="28"/>
          <w:szCs w:val="28"/>
        </w:rPr>
        <w:t>1、电线路管道在投标报价时应将管件、配件、开孔洞、防火封堵、管道开槽、管槽修复费用综合考虑在管道综合单价中，结算时综合单价不予调整。</w:t>
      </w:r>
    </w:p>
    <w:p>
      <w:pPr>
        <w:snapToGrid w:val="0"/>
        <w:spacing w:before="0" w:after="0" w:line="500" w:lineRule="exact"/>
        <w:ind w:firstLineChars="150"/>
        <w:jc w:val="both"/>
        <w:rPr>
          <w:rFonts w:ascii="仿宋" w:hAnsi="仿宋" w:eastAsia="仿宋"/>
          <w:color w:val="000000"/>
          <w:sz w:val="28"/>
          <w:szCs w:val="28"/>
        </w:rPr>
      </w:pPr>
      <w:r>
        <w:rPr>
          <w:rFonts w:ascii="仿宋" w:hAnsi="仿宋" w:eastAsia="仿宋"/>
          <w:color w:val="000000"/>
          <w:sz w:val="28"/>
          <w:szCs w:val="28"/>
        </w:rPr>
        <w:t>2、所有接线盒安装不区分敷设方式，投标报价时应将墙地面开槽、补槽、修补费用综合考虑在接线盒综合单价中，结算时综合单价不予调整。</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3</w:t>
      </w:r>
      <w:r>
        <w:rPr>
          <w:rFonts w:ascii="仿宋" w:hAnsi="仿宋" w:eastAsia="仿宋"/>
          <w:color w:val="000000"/>
          <w:sz w:val="28"/>
          <w:szCs w:val="28"/>
        </w:rPr>
        <w:t>、工程量清单中所有设备、材料的工程量均为暂定工程量，施工过程中，施工方根据业主及现场实际需求进行采购、供货，任何不符合业主需求的设备、材料不得计入结算。</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4</w:t>
      </w:r>
      <w:r>
        <w:rPr>
          <w:rFonts w:ascii="仿宋" w:hAnsi="仿宋" w:eastAsia="仿宋"/>
          <w:color w:val="000000"/>
          <w:sz w:val="28"/>
          <w:szCs w:val="28"/>
        </w:rPr>
        <w:t>、重要设备、软硬件须厂家质保服务、厂家上门服务的，投标人投标报价时应综合考虑上述费用，结算时，综合单价不予调整。</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5</w:t>
      </w:r>
      <w:r>
        <w:rPr>
          <w:rFonts w:ascii="仿宋" w:hAnsi="仿宋" w:eastAsia="仿宋"/>
          <w:color w:val="000000"/>
          <w:sz w:val="28"/>
          <w:szCs w:val="28"/>
        </w:rPr>
        <w:t>、本工程综合单价包括材料、设备的采购、供货、包装、运输、保险、施工（含超高费）、系统调试、联调测试、试运行、质保、人工、材料（含辅材）、机械、管理、培训、利润、税金，以及为完成该项目所涉及到的一切其他相关费用。</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6</w:t>
      </w:r>
      <w:r>
        <w:rPr>
          <w:rFonts w:ascii="仿宋" w:hAnsi="仿宋" w:eastAsia="仿宋"/>
          <w:color w:val="000000"/>
          <w:sz w:val="28"/>
          <w:szCs w:val="28"/>
        </w:rPr>
        <w:t>、如设计变更，增加的设备在清单中有适用的，则按投标时的报价结算；若增加的设备在清单中无适用的，结算原则为：由施工方申报单价，经监理、跟踪审计以及业主签证后进行结算。</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7</w:t>
      </w:r>
      <w:r>
        <w:rPr>
          <w:rFonts w:ascii="仿宋" w:hAnsi="仿宋" w:eastAsia="仿宋"/>
          <w:color w:val="000000"/>
          <w:sz w:val="28"/>
          <w:szCs w:val="28"/>
        </w:rPr>
        <w:t>、为满足招标要求的系统功能和性能，清单中未描述的所需的全部附件、软件、工具和服务，投标报价时应</w:t>
      </w:r>
      <w:r>
        <w:rPr>
          <w:rFonts w:hint="eastAsia" w:ascii="仿宋" w:hAnsi="仿宋" w:eastAsia="仿宋"/>
          <w:color w:val="000000"/>
          <w:sz w:val="28"/>
          <w:szCs w:val="28"/>
          <w:lang w:val="en-US" w:eastAsia="zh-CN"/>
        </w:rPr>
        <w:t>结合图纸和技术参数要求</w:t>
      </w:r>
      <w:r>
        <w:rPr>
          <w:rFonts w:ascii="仿宋" w:hAnsi="仿宋" w:eastAsia="仿宋"/>
          <w:color w:val="000000"/>
          <w:sz w:val="28"/>
          <w:szCs w:val="28"/>
        </w:rPr>
        <w:t>综合考虑，结算时，不予新增上述费用。</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8</w:t>
      </w:r>
      <w:r>
        <w:rPr>
          <w:rFonts w:ascii="仿宋" w:hAnsi="仿宋" w:eastAsia="仿宋"/>
          <w:color w:val="000000"/>
          <w:sz w:val="28"/>
          <w:szCs w:val="28"/>
        </w:rPr>
        <w:t>、工程量清单仅指本次招标的主要供货范围，是工程的必要组成部分，并非详细完整配置。对清单中未列出和技术规格书内未说明的，而投标人为使设备能够按技术规格书要求长期正常有效运行所需的货物（包括：软件、服务、附件、辅材等），已包含在投标总价内。</w:t>
      </w:r>
    </w:p>
    <w:p>
      <w:pPr>
        <w:snapToGrid w:val="0"/>
        <w:spacing w:before="0" w:after="0" w:line="500" w:lineRule="exact"/>
        <w:ind w:firstLineChars="150"/>
        <w:jc w:val="both"/>
        <w:rPr>
          <w:rFonts w:ascii="仿宋" w:hAnsi="仿宋" w:eastAsia="仿宋"/>
          <w:color w:val="000000"/>
          <w:sz w:val="28"/>
          <w:szCs w:val="28"/>
        </w:rPr>
      </w:pPr>
      <w:r>
        <w:rPr>
          <w:rFonts w:hint="eastAsia" w:ascii="仿宋" w:hAnsi="仿宋" w:eastAsia="仿宋"/>
          <w:color w:val="000000"/>
          <w:sz w:val="28"/>
          <w:szCs w:val="28"/>
          <w:lang w:val="en-US" w:eastAsia="zh-CN"/>
        </w:rPr>
        <w:t>9</w:t>
      </w:r>
      <w:r>
        <w:rPr>
          <w:rFonts w:ascii="仿宋" w:hAnsi="仿宋" w:eastAsia="仿宋"/>
          <w:color w:val="000000"/>
          <w:sz w:val="28"/>
          <w:szCs w:val="28"/>
        </w:rPr>
        <w:t>、施工过程中，投标设备规格、型号、参数更新换代，市场上已经采购不到，须将原中标设备一对一替换为新设备并同时向业主申请更新，更新设备的规格、型号、参数配置不低于原设备，更新设备后的价格不得高于原设备的合同价格。</w:t>
      </w:r>
    </w:p>
    <w:p>
      <w:pPr>
        <w:snapToGrid w:val="0"/>
        <w:spacing w:before="0" w:after="0" w:line="500" w:lineRule="exact"/>
        <w:ind w:firstLineChars="150"/>
        <w:jc w:val="both"/>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10、实际施工过程中人工、材料、设备等涨价不调整，投标单位投标时综合考虑.</w:t>
      </w:r>
    </w:p>
    <w:p>
      <w:pPr>
        <w:snapToGrid w:val="0"/>
        <w:spacing w:before="0" w:after="0" w:line="500" w:lineRule="exact"/>
        <w:ind w:firstLineChars="150"/>
        <w:jc w:val="both"/>
        <w:rPr>
          <w:rFonts w:hint="default" w:ascii="仿宋" w:hAnsi="仿宋" w:eastAsia="仿宋"/>
          <w:color w:val="000000"/>
          <w:sz w:val="28"/>
          <w:szCs w:val="28"/>
          <w:lang w:val="en-US" w:eastAsia="zh-CN"/>
        </w:rPr>
      </w:pPr>
      <w:r>
        <w:rPr>
          <w:rFonts w:hint="eastAsia" w:ascii="仿宋" w:hAnsi="仿宋" w:eastAsia="仿宋"/>
          <w:color w:val="000000"/>
          <w:sz w:val="28"/>
          <w:szCs w:val="28"/>
          <w:lang w:val="en-US" w:eastAsia="zh-CN"/>
        </w:rPr>
        <w:t>11、各投标人根据现有图纸及自身产品自行深化图纸，深化方案须经甲方审核同意后方可实施，深化设计费用包含在投标报价内。</w:t>
      </w:r>
    </w:p>
    <w:p>
      <w:pPr>
        <w:snapToGrid w:val="0"/>
        <w:spacing w:before="0" w:after="0" w:line="500" w:lineRule="exact"/>
        <w:jc w:val="both"/>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12、招标控制价编制价格参考的品牌</w:t>
      </w:r>
    </w:p>
    <w:p>
      <w:pPr>
        <w:snapToGrid w:val="0"/>
        <w:spacing w:before="0" w:after="0" w:line="500" w:lineRule="exact"/>
        <w:jc w:val="both"/>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tbl>
      <w:tblPr>
        <w:tblStyle w:val="5"/>
        <w:tblW w:w="8550" w:type="dxa"/>
        <w:tblInd w:w="49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2"/>
        <w:gridCol w:w="2734"/>
        <w:gridCol w:w="48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lang w:val="en-US" w:eastAsia="zh-CN"/>
              </w:rPr>
            </w:pPr>
            <w:r>
              <w:rPr>
                <w:rFonts w:hint="eastAsia" w:ascii="等线" w:hAnsi="等线" w:eastAsia="等线" w:cs="等线"/>
                <w:b/>
                <w:bCs/>
                <w:i w:val="0"/>
                <w:iCs w:val="0"/>
                <w:color w:val="000000"/>
                <w:sz w:val="24"/>
                <w:szCs w:val="24"/>
                <w:u w:val="none"/>
                <w:lang w:val="en-US" w:eastAsia="zh-CN"/>
              </w:rPr>
              <w:t>控制价编制参考品牌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序号</w:t>
            </w:r>
          </w:p>
        </w:tc>
        <w:tc>
          <w:tcPr>
            <w:tcW w:w="2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系统名称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参考品牌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继电器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欧姆龙、施耐德、ABB或同档次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控制线缆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江南、上上、远东或同档次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工控机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研祥、研华、华北工控或同档次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UPS</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cs="宋体"/>
                <w:kern w:val="0"/>
                <w:szCs w:val="21"/>
              </w:rPr>
              <w:t>科华、科士达、依米康、雷诺士</w:t>
            </w:r>
            <w:bookmarkStart w:id="0" w:name="_GoBack"/>
            <w:bookmarkEnd w:id="0"/>
            <w:r>
              <w:rPr>
                <w:rFonts w:hint="eastAsia" w:ascii="宋体" w:hAnsi="宋体" w:eastAsia="宋体" w:cs="宋体"/>
                <w:i w:val="0"/>
                <w:iCs w:val="0"/>
                <w:color w:val="000000"/>
                <w:kern w:val="0"/>
                <w:sz w:val="21"/>
                <w:szCs w:val="21"/>
                <w:u w:val="none"/>
                <w:lang w:val="en-US" w:eastAsia="zh-CN" w:bidi="ar"/>
              </w:rPr>
              <w:t>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变频器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highlight w:val="yellow"/>
                <w:u w:val="none"/>
                <w:lang w:val="en-US" w:eastAsia="zh-CN" w:bidi="ar"/>
              </w:rPr>
              <w:t>三菱、ABB、施耐德</w:t>
            </w:r>
            <w:r>
              <w:rPr>
                <w:rFonts w:hint="eastAsia" w:ascii="宋体" w:hAnsi="宋体" w:eastAsia="宋体" w:cs="宋体"/>
                <w:i w:val="0"/>
                <w:iCs w:val="0"/>
                <w:color w:val="000000"/>
                <w:kern w:val="0"/>
                <w:sz w:val="21"/>
                <w:szCs w:val="21"/>
                <w:u w:val="none"/>
                <w:lang w:val="en-US" w:eastAsia="zh-CN" w:bidi="ar"/>
              </w:rPr>
              <w:t>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冷却塔水力平衡装置</w:t>
            </w:r>
          </w:p>
        </w:tc>
        <w:tc>
          <w:tcPr>
            <w:tcW w:w="4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自力型：与一期同类型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7</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接触器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西门子、施耐德、ABB或同档次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8</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柜体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宋体" w:hAnsi="宋体" w:eastAsia="宋体" w:cs="宋体"/>
                <w:i w:val="0"/>
                <w:iCs w:val="0"/>
                <w:color w:val="000000"/>
                <w:kern w:val="0"/>
                <w:sz w:val="21"/>
                <w:szCs w:val="21"/>
                <w:u w:val="none"/>
                <w:lang w:val="en-US" w:eastAsia="zh-CN" w:bidi="ar"/>
              </w:rPr>
              <w:t>仿威图、纳图或同档次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9</w:t>
            </w:r>
          </w:p>
        </w:tc>
        <w:tc>
          <w:tcPr>
            <w:tcW w:w="2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配电柜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配电箱、柜开关元器件：ABB、施耐德、西门子（均为标准型）。</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柜厂家：江苏晟润、常州晨鹏、常州银星、常州祥新聚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20"/>
                <w:szCs w:val="20"/>
                <w:u w:val="none"/>
                <w:lang w:val="en-US"/>
              </w:rPr>
            </w:pPr>
            <w:r>
              <w:rPr>
                <w:rFonts w:hint="eastAsia" w:ascii="等线" w:hAnsi="等线" w:eastAsia="等线" w:cs="等线"/>
                <w:i w:val="0"/>
                <w:iCs w:val="0"/>
                <w:color w:val="000000"/>
                <w:kern w:val="0"/>
                <w:sz w:val="20"/>
                <w:szCs w:val="20"/>
                <w:u w:val="none"/>
                <w:lang w:val="en-US" w:eastAsia="zh-CN" w:bidi="ar"/>
              </w:rPr>
              <w:t>10</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金属桥架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江苏士林、江苏华鹏、江苏华峰、扬中大全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11</w:t>
            </w: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电线、电缆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无锡江南、远东控股、江苏上上、江苏东峰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0"/>
                <w:szCs w:val="20"/>
                <w:u w:val="none"/>
              </w:rPr>
            </w:pP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0"/>
                <w:szCs w:val="20"/>
                <w:u w:val="none"/>
              </w:rPr>
            </w:pPr>
          </w:p>
        </w:tc>
      </w:tr>
    </w:tbl>
    <w:p>
      <w:pPr>
        <w:snapToGrid w:val="0"/>
        <w:spacing w:before="0" w:after="0" w:line="500" w:lineRule="exact"/>
        <w:ind w:firstLineChars="200"/>
        <w:jc w:val="both"/>
        <w:rPr>
          <w:rFonts w:ascii="仿宋" w:hAnsi="仿宋" w:eastAsia="仿宋"/>
          <w:color w:val="000000"/>
          <w:sz w:val="28"/>
          <w:szCs w:val="28"/>
        </w:rPr>
      </w:pPr>
    </w:p>
    <w:p>
      <w:pPr>
        <w:snapToGrid w:val="0"/>
        <w:spacing w:before="0" w:after="0" w:line="500" w:lineRule="exact"/>
        <w:ind w:firstLineChars="1800"/>
        <w:jc w:val="both"/>
        <w:rPr>
          <w:rFonts w:ascii="仿宋" w:hAnsi="仿宋" w:eastAsia="仿宋"/>
          <w:color w:val="000000"/>
          <w:sz w:val="28"/>
          <w:szCs w:val="28"/>
        </w:rPr>
      </w:pPr>
      <w:r>
        <w:rPr>
          <w:rFonts w:ascii="仿宋" w:hAnsi="仿宋" w:eastAsia="仿宋"/>
          <w:color w:val="000000"/>
          <w:sz w:val="28"/>
          <w:szCs w:val="28"/>
        </w:rPr>
        <w:t>建银工程咨询有限责任公司</w:t>
      </w:r>
    </w:p>
    <w:p>
      <w:pPr>
        <w:snapToGrid w:val="0"/>
        <w:spacing w:before="0" w:after="0" w:line="500" w:lineRule="exact"/>
        <w:ind w:firstLineChars="2000"/>
        <w:jc w:val="both"/>
        <w:rPr>
          <w:rFonts w:ascii="仿宋" w:hAnsi="仿宋" w:eastAsia="仿宋"/>
          <w:color w:val="000000"/>
          <w:sz w:val="22"/>
          <w:szCs w:val="22"/>
        </w:rPr>
      </w:pPr>
      <w:r>
        <w:rPr>
          <w:rFonts w:ascii="仿宋" w:hAnsi="仿宋" w:eastAsia="仿宋"/>
          <w:color w:val="000000"/>
          <w:sz w:val="28"/>
          <w:szCs w:val="28"/>
        </w:rPr>
        <w:t xml:space="preserve"> 202</w:t>
      </w:r>
      <w:r>
        <w:rPr>
          <w:rFonts w:hint="eastAsia" w:ascii="仿宋" w:hAnsi="仿宋" w:eastAsia="仿宋"/>
          <w:color w:val="000000"/>
          <w:sz w:val="28"/>
          <w:szCs w:val="28"/>
          <w:lang w:val="en-US" w:eastAsia="zh-CN"/>
        </w:rPr>
        <w:t>2</w:t>
      </w:r>
      <w:r>
        <w:rPr>
          <w:rFonts w:ascii="仿宋" w:hAnsi="仿宋" w:eastAsia="仿宋"/>
          <w:color w:val="000000"/>
          <w:sz w:val="28"/>
          <w:szCs w:val="28"/>
        </w:rPr>
        <w:t>年</w:t>
      </w:r>
      <w:r>
        <w:rPr>
          <w:rFonts w:hint="eastAsia" w:ascii="仿宋" w:hAnsi="仿宋" w:eastAsia="仿宋"/>
          <w:color w:val="000000"/>
          <w:sz w:val="28"/>
          <w:szCs w:val="28"/>
          <w:lang w:val="en-US" w:eastAsia="zh-CN"/>
        </w:rPr>
        <w:t>8</w:t>
      </w:r>
      <w:r>
        <w:rPr>
          <w:rFonts w:ascii="仿宋" w:hAnsi="仿宋" w:eastAsia="仿宋"/>
          <w:color w:val="000000"/>
          <w:sz w:val="28"/>
          <w:szCs w:val="28"/>
        </w:rPr>
        <w:t>月</w:t>
      </w:r>
      <w:r>
        <w:rPr>
          <w:rFonts w:hint="eastAsia" w:ascii="仿宋" w:hAnsi="仿宋" w:eastAsia="仿宋"/>
          <w:color w:val="000000"/>
          <w:sz w:val="28"/>
          <w:szCs w:val="28"/>
          <w:lang w:val="en-US" w:eastAsia="zh-CN"/>
        </w:rPr>
        <w:t>24</w:t>
      </w:r>
      <w:r>
        <w:rPr>
          <w:rFonts w:ascii="仿宋" w:hAnsi="仿宋" w:eastAsia="仿宋"/>
          <w:color w:val="000000"/>
          <w:sz w:val="28"/>
          <w:szCs w:val="28"/>
        </w:rPr>
        <w:t>日</w:t>
      </w:r>
    </w:p>
    <w:sectPr>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32808A"/>
    <w:multiLevelType w:val="singleLevel"/>
    <w:tmpl w:val="4332808A"/>
    <w:lvl w:ilvl="0" w:tentative="0">
      <w:start w:val="1"/>
      <w:numFmt w:val="decimal"/>
      <w:lvlText w:val="%1."/>
      <w:lvlJc w:val="left"/>
      <w:pPr>
        <w:tabs>
          <w:tab w:val="left" w:pos="312"/>
        </w:tabs>
        <w:ind w:left="480" w:leftChars="0" w:firstLine="0" w:firstLineChars="0"/>
      </w:pPr>
    </w:lvl>
  </w:abstractNum>
  <w:abstractNum w:abstractNumId="1">
    <w:nsid w:val="78D56EE2"/>
    <w:multiLevelType w:val="singleLevel"/>
    <w:tmpl w:val="78D56EE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2ZmUxNzQxMWQ0YzBlYzNkNzU4ZjE2ZGNkOGQ3MzkifQ=="/>
  </w:docVars>
  <w:rsids>
    <w:rsidRoot w:val="00172A27"/>
    <w:rsid w:val="000C51B7"/>
    <w:rsid w:val="00216EB9"/>
    <w:rsid w:val="0059531B"/>
    <w:rsid w:val="00616505"/>
    <w:rsid w:val="0062213C"/>
    <w:rsid w:val="00633F40"/>
    <w:rsid w:val="006549AD"/>
    <w:rsid w:val="00684D9C"/>
    <w:rsid w:val="006B6D1F"/>
    <w:rsid w:val="007C2CDB"/>
    <w:rsid w:val="00A60633"/>
    <w:rsid w:val="00BA0C1A"/>
    <w:rsid w:val="00C061CB"/>
    <w:rsid w:val="00C604EC"/>
    <w:rsid w:val="00E26251"/>
    <w:rsid w:val="00EA1EE8"/>
    <w:rsid w:val="00F53662"/>
    <w:rsid w:val="01976D68"/>
    <w:rsid w:val="01AC5842"/>
    <w:rsid w:val="01F33470"/>
    <w:rsid w:val="042518DB"/>
    <w:rsid w:val="074E0064"/>
    <w:rsid w:val="075F617C"/>
    <w:rsid w:val="07FF42C6"/>
    <w:rsid w:val="083D07F0"/>
    <w:rsid w:val="092F4329"/>
    <w:rsid w:val="09E51DDD"/>
    <w:rsid w:val="0A515E0A"/>
    <w:rsid w:val="0C036685"/>
    <w:rsid w:val="0C7D0506"/>
    <w:rsid w:val="0DF26CD2"/>
    <w:rsid w:val="0FED14FF"/>
    <w:rsid w:val="105E3B74"/>
    <w:rsid w:val="10D05EA0"/>
    <w:rsid w:val="12EA7F78"/>
    <w:rsid w:val="13BF31B2"/>
    <w:rsid w:val="14425B91"/>
    <w:rsid w:val="1A61690B"/>
    <w:rsid w:val="1C2C4424"/>
    <w:rsid w:val="1C5C3557"/>
    <w:rsid w:val="1CC47A8B"/>
    <w:rsid w:val="1CD54CE6"/>
    <w:rsid w:val="1DEC38DC"/>
    <w:rsid w:val="1FA85442"/>
    <w:rsid w:val="204333BD"/>
    <w:rsid w:val="20F546B7"/>
    <w:rsid w:val="214B42D7"/>
    <w:rsid w:val="22395DB5"/>
    <w:rsid w:val="244B5AA8"/>
    <w:rsid w:val="24DC16EA"/>
    <w:rsid w:val="24E57A07"/>
    <w:rsid w:val="24FD7FDE"/>
    <w:rsid w:val="27982240"/>
    <w:rsid w:val="28060F58"/>
    <w:rsid w:val="2A5A49FE"/>
    <w:rsid w:val="2CA26F0D"/>
    <w:rsid w:val="2D90225B"/>
    <w:rsid w:val="30456175"/>
    <w:rsid w:val="306A5A63"/>
    <w:rsid w:val="31DB5E7F"/>
    <w:rsid w:val="3268280F"/>
    <w:rsid w:val="32981347"/>
    <w:rsid w:val="32D16A43"/>
    <w:rsid w:val="36772279"/>
    <w:rsid w:val="373C0593"/>
    <w:rsid w:val="3FF73B50"/>
    <w:rsid w:val="434067C1"/>
    <w:rsid w:val="44B00772"/>
    <w:rsid w:val="46F66623"/>
    <w:rsid w:val="49A053DA"/>
    <w:rsid w:val="4A7162AD"/>
    <w:rsid w:val="4B320032"/>
    <w:rsid w:val="4BDE4FCF"/>
    <w:rsid w:val="4E4F2DA9"/>
    <w:rsid w:val="51420A93"/>
    <w:rsid w:val="5144471C"/>
    <w:rsid w:val="518B234A"/>
    <w:rsid w:val="52A14C31"/>
    <w:rsid w:val="53051C89"/>
    <w:rsid w:val="5399724D"/>
    <w:rsid w:val="54414F42"/>
    <w:rsid w:val="55A62077"/>
    <w:rsid w:val="568D20C3"/>
    <w:rsid w:val="597E461F"/>
    <w:rsid w:val="598A424C"/>
    <w:rsid w:val="59B61F2F"/>
    <w:rsid w:val="5B8B2F47"/>
    <w:rsid w:val="5DE828D3"/>
    <w:rsid w:val="5F800665"/>
    <w:rsid w:val="60671209"/>
    <w:rsid w:val="63556314"/>
    <w:rsid w:val="64F30D08"/>
    <w:rsid w:val="66FD5574"/>
    <w:rsid w:val="68DE0B5A"/>
    <w:rsid w:val="6AD466B8"/>
    <w:rsid w:val="6AEE23DE"/>
    <w:rsid w:val="6D1234C8"/>
    <w:rsid w:val="6EAF13B0"/>
    <w:rsid w:val="6EDA1DC4"/>
    <w:rsid w:val="6F184237"/>
    <w:rsid w:val="70FA04FB"/>
    <w:rsid w:val="71061E72"/>
    <w:rsid w:val="734737A0"/>
    <w:rsid w:val="736305DA"/>
    <w:rsid w:val="75E803CC"/>
    <w:rsid w:val="7A3B2499"/>
    <w:rsid w:val="7A904A29"/>
    <w:rsid w:val="7B1058C0"/>
    <w:rsid w:val="7D073061"/>
    <w:rsid w:val="7D9D16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paragraph" w:customStyle="1" w:styleId="10">
    <w:name w:val="List Paragraph"/>
    <w:basedOn w:val="1"/>
    <w:qFormat/>
    <w:uiPriority w:val="34"/>
    <w:pPr>
      <w:ind w:firstLine="420" w:firstLineChars="200"/>
    </w:pPr>
  </w:style>
  <w:style w:type="character" w:customStyle="1" w:styleId="11">
    <w:name w:val="font71"/>
    <w:basedOn w:val="7"/>
    <w:qFormat/>
    <w:uiPriority w:val="0"/>
    <w:rPr>
      <w:rFonts w:hint="eastAsia" w:ascii="宋体" w:hAnsi="宋体" w:eastAsia="宋体" w:cs="宋体"/>
      <w:color w:val="FF0000"/>
      <w:sz w:val="24"/>
      <w:szCs w:val="24"/>
      <w:u w:val="none"/>
    </w:rPr>
  </w:style>
  <w:style w:type="character" w:customStyle="1" w:styleId="12">
    <w:name w:val="font11"/>
    <w:basedOn w:val="7"/>
    <w:qFormat/>
    <w:uiPriority w:val="0"/>
    <w:rPr>
      <w:rFonts w:hint="eastAsia" w:ascii="宋体" w:hAnsi="宋体" w:eastAsia="宋体" w:cs="宋体"/>
      <w:color w:val="000000"/>
      <w:sz w:val="24"/>
      <w:szCs w:val="24"/>
      <w:u w:val="none"/>
    </w:rPr>
  </w:style>
  <w:style w:type="character" w:customStyle="1" w:styleId="13">
    <w:name w:val="font81"/>
    <w:basedOn w:val="7"/>
    <w:qFormat/>
    <w:uiPriority w:val="0"/>
    <w:rPr>
      <w:rFonts w:hint="eastAsia" w:ascii="宋体" w:hAnsi="宋体" w:eastAsia="宋体" w:cs="宋体"/>
      <w:color w:val="FF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1177</Words>
  <Characters>1199</Characters>
  <Lines>1</Lines>
  <Paragraphs>1</Paragraphs>
  <TotalTime>0</TotalTime>
  <ScaleCrop>false</ScaleCrop>
  <LinksUpToDate>false</LinksUpToDate>
  <CharactersWithSpaces>1208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lenovo</cp:lastModifiedBy>
  <dcterms:modified xsi:type="dcterms:W3CDTF">2022-08-25T01:48:44Z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981EF2ED1A1C4A3691269E22272E57CF</vt:lpwstr>
  </property>
</Properties>
</file>