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160" w:firstLineChars="5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 xml:space="preserve"> </w:t>
      </w:r>
    </w:p>
    <w:p>
      <w:pPr>
        <w:spacing w:line="360" w:lineRule="auto"/>
        <w:ind w:firstLine="300" w:firstLineChars="50"/>
        <w:rPr>
          <w:sz w:val="60"/>
          <w:szCs w:val="60"/>
        </w:rPr>
      </w:pPr>
    </w:p>
    <w:p>
      <w:pPr>
        <w:jc w:val="center"/>
        <w:rPr>
          <w:b/>
          <w:bCs/>
          <w:sz w:val="72"/>
          <w:szCs w:val="72"/>
        </w:rPr>
      </w:pPr>
      <w:r>
        <w:rPr>
          <w:b/>
          <w:bCs/>
          <w:sz w:val="72"/>
          <w:szCs w:val="72"/>
        </w:rPr>
        <w:t>常州市政府采购项目</w:t>
      </w:r>
    </w:p>
    <w:p>
      <w:pPr>
        <w:jc w:val="center"/>
        <w:rPr>
          <w:b/>
          <w:bCs/>
          <w:sz w:val="72"/>
          <w:szCs w:val="72"/>
        </w:rPr>
      </w:pPr>
      <w:r>
        <w:rPr>
          <w:b/>
          <w:bCs/>
          <w:sz w:val="72"/>
          <w:szCs w:val="72"/>
        </w:rPr>
        <w:t>竞争性谈判文件</w:t>
      </w:r>
    </w:p>
    <w:p>
      <w:pPr>
        <w:jc w:val="center"/>
        <w:rPr>
          <w:rFonts w:ascii="宋体" w:hAnsi="宋体"/>
          <w:b/>
          <w:bCs/>
          <w:sz w:val="60"/>
          <w:szCs w:val="60"/>
        </w:rPr>
      </w:pPr>
    </w:p>
    <w:p>
      <w:pPr>
        <w:jc w:val="center"/>
        <w:rPr>
          <w:rFonts w:ascii="宋体" w:hAnsi="宋体"/>
          <w:b/>
          <w:bCs/>
          <w:i/>
          <w:sz w:val="60"/>
          <w:szCs w:val="60"/>
        </w:rPr>
      </w:pPr>
    </w:p>
    <w:p>
      <w:pPr>
        <w:pStyle w:val="12"/>
        <w:rPr>
          <w:rFonts w:ascii="宋体" w:hAnsi="宋体"/>
          <w:b/>
          <w:bCs/>
          <w:i/>
          <w:sz w:val="60"/>
          <w:szCs w:val="60"/>
        </w:rPr>
      </w:pPr>
    </w:p>
    <w:p>
      <w:pPr>
        <w:rPr>
          <w:rFonts w:ascii="宋体" w:hAnsi="宋体"/>
          <w:b/>
          <w:bCs/>
          <w:i/>
          <w:sz w:val="60"/>
          <w:szCs w:val="60"/>
        </w:rPr>
      </w:pPr>
    </w:p>
    <w:p>
      <w:pPr>
        <w:pStyle w:val="2"/>
      </w:pPr>
    </w:p>
    <w:p/>
    <w:p>
      <w:pPr>
        <w:tabs>
          <w:tab w:val="left" w:pos="3240"/>
          <w:tab w:val="left" w:pos="3420"/>
        </w:tabs>
        <w:spacing w:line="1000" w:lineRule="exact"/>
        <w:ind w:left="2832" w:leftChars="444" w:hanging="1900" w:hangingChars="528"/>
        <w:jc w:val="left"/>
        <w:rPr>
          <w:rFonts w:hint="eastAsia" w:eastAsia="宋体"/>
          <w:bCs/>
          <w:sz w:val="36"/>
          <w:szCs w:val="36"/>
          <w:lang w:eastAsia="zh-CN"/>
        </w:rPr>
      </w:pPr>
      <w:r>
        <w:rPr>
          <w:bCs/>
          <w:sz w:val="36"/>
          <w:szCs w:val="36"/>
        </w:rPr>
        <w:t>项目名称：</w:t>
      </w:r>
      <w:r>
        <w:rPr>
          <w:rFonts w:hint="eastAsia"/>
          <w:bCs/>
          <w:sz w:val="36"/>
          <w:szCs w:val="36"/>
          <w:lang w:eastAsia="zh-CN"/>
        </w:rPr>
        <w:t>金城镇养老服务综合体修缮工程</w:t>
      </w:r>
    </w:p>
    <w:p>
      <w:pPr>
        <w:tabs>
          <w:tab w:val="left" w:pos="3240"/>
          <w:tab w:val="left" w:pos="3420"/>
        </w:tabs>
        <w:spacing w:line="1000" w:lineRule="exact"/>
        <w:ind w:left="2832" w:leftChars="444" w:hanging="1900" w:hangingChars="528"/>
        <w:jc w:val="left"/>
        <w:rPr>
          <w:rFonts w:hint="eastAsia" w:eastAsia="宋体"/>
          <w:bCs/>
          <w:sz w:val="36"/>
          <w:szCs w:val="36"/>
          <w:lang w:eastAsia="zh-CN"/>
        </w:rPr>
      </w:pPr>
      <w:r>
        <w:rPr>
          <w:bCs/>
          <w:sz w:val="36"/>
          <w:szCs w:val="36"/>
        </w:rPr>
        <w:t>项目编号：</w:t>
      </w:r>
      <w:r>
        <w:rPr>
          <w:rFonts w:hint="eastAsia" w:ascii="宋体" w:hAnsi="宋体"/>
          <w:bCs/>
          <w:sz w:val="36"/>
          <w:szCs w:val="36"/>
          <w:lang w:eastAsia="zh-CN"/>
        </w:rPr>
        <w:t>名源-JT2022-003号</w:t>
      </w:r>
    </w:p>
    <w:p>
      <w:pPr>
        <w:tabs>
          <w:tab w:val="left" w:pos="3240"/>
          <w:tab w:val="left" w:pos="3420"/>
        </w:tabs>
        <w:spacing w:line="1000" w:lineRule="exact"/>
        <w:ind w:left="2832" w:leftChars="444" w:hanging="1900" w:hangingChars="528"/>
        <w:jc w:val="left"/>
        <w:rPr>
          <w:rFonts w:hint="eastAsia" w:eastAsia="宋体"/>
          <w:bCs/>
          <w:sz w:val="36"/>
          <w:szCs w:val="36"/>
          <w:lang w:eastAsia="zh-CN"/>
        </w:rPr>
      </w:pPr>
      <w:r>
        <w:rPr>
          <w:bCs/>
          <w:sz w:val="36"/>
          <w:szCs w:val="36"/>
        </w:rPr>
        <w:t>采 购 人：</w:t>
      </w:r>
      <w:r>
        <w:rPr>
          <w:rFonts w:hint="eastAsia"/>
          <w:bCs/>
          <w:sz w:val="36"/>
          <w:szCs w:val="36"/>
          <w:lang w:eastAsia="zh-CN"/>
        </w:rPr>
        <w:t>常州市金坛区金城镇人民政府</w:t>
      </w:r>
    </w:p>
    <w:p>
      <w:pPr>
        <w:tabs>
          <w:tab w:val="left" w:pos="3240"/>
          <w:tab w:val="left" w:pos="3420"/>
        </w:tabs>
        <w:spacing w:line="1000" w:lineRule="exact"/>
        <w:ind w:left="2832" w:leftChars="444" w:hanging="1900" w:hangingChars="528"/>
        <w:jc w:val="left"/>
        <w:rPr>
          <w:bCs/>
          <w:sz w:val="36"/>
          <w:szCs w:val="36"/>
        </w:rPr>
      </w:pPr>
      <w:r>
        <w:rPr>
          <w:rFonts w:hint="eastAsia"/>
          <w:bCs/>
          <w:sz w:val="36"/>
          <w:szCs w:val="36"/>
        </w:rPr>
        <w:t>采购</w:t>
      </w:r>
      <w:r>
        <w:rPr>
          <w:bCs/>
          <w:sz w:val="36"/>
          <w:szCs w:val="36"/>
        </w:rPr>
        <w:t>代理机构：</w:t>
      </w:r>
      <w:r>
        <w:rPr>
          <w:rFonts w:hint="eastAsia"/>
          <w:bCs/>
          <w:sz w:val="36"/>
          <w:szCs w:val="36"/>
          <w:lang w:eastAsia="zh-CN"/>
        </w:rPr>
        <w:t>常州名源全过程工程咨询有限公司</w:t>
      </w:r>
      <w:r>
        <w:rPr>
          <w:bCs/>
          <w:sz w:val="36"/>
          <w:szCs w:val="36"/>
        </w:rPr>
        <w:t xml:space="preserve"> </w:t>
      </w:r>
    </w:p>
    <w:p>
      <w:pPr>
        <w:widowControl/>
        <w:jc w:val="left"/>
        <w:rPr>
          <w:b/>
          <w:bCs/>
          <w:sz w:val="44"/>
        </w:rPr>
      </w:pPr>
      <w:r>
        <w:rPr>
          <w:b/>
          <w:bCs/>
          <w:sz w:val="44"/>
        </w:rPr>
        <w:br w:type="page"/>
      </w:r>
    </w:p>
    <w:p>
      <w:pPr>
        <w:spacing w:line="360" w:lineRule="auto"/>
        <w:jc w:val="center"/>
        <w:outlineLvl w:val="0"/>
        <w:rPr>
          <w:b/>
          <w:sz w:val="44"/>
          <w:szCs w:val="44"/>
        </w:rPr>
      </w:pPr>
      <w:bookmarkStart w:id="0" w:name="_Toc99301372"/>
      <w:r>
        <w:rPr>
          <w:rFonts w:hint="eastAsia"/>
          <w:b/>
          <w:sz w:val="44"/>
          <w:szCs w:val="44"/>
        </w:rPr>
        <w:t>目</w:t>
      </w:r>
      <w:r>
        <w:rPr>
          <w:b/>
          <w:sz w:val="44"/>
          <w:szCs w:val="44"/>
        </w:rPr>
        <w:t xml:space="preserve">      </w:t>
      </w:r>
      <w:r>
        <w:rPr>
          <w:rFonts w:hint="eastAsia"/>
          <w:b/>
          <w:sz w:val="44"/>
          <w:szCs w:val="44"/>
        </w:rPr>
        <w:t>录</w:t>
      </w:r>
      <w:bookmarkEnd w:id="0"/>
    </w:p>
    <w:p>
      <w:pPr>
        <w:pStyle w:val="31"/>
        <w:spacing w:line="1000" w:lineRule="exact"/>
        <w:rPr>
          <w:rFonts w:cs="宋体"/>
          <w:b w:val="0"/>
          <w:sz w:val="28"/>
          <w:szCs w:val="28"/>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r>
        <w:fldChar w:fldCharType="begin"/>
      </w:r>
      <w:r>
        <w:instrText xml:space="preserve"> HYPERLINK \l "_Toc99301373" </w:instrText>
      </w:r>
      <w:r>
        <w:fldChar w:fldCharType="separate"/>
      </w:r>
      <w:r>
        <w:rPr>
          <w:rStyle w:val="51"/>
          <w:rFonts w:hint="eastAsia" w:cs="宋体"/>
          <w:sz w:val="28"/>
          <w:szCs w:val="28"/>
        </w:rPr>
        <w:t>第一章   采购邀请</w:t>
      </w:r>
      <w:r>
        <w:rPr>
          <w:rFonts w:hint="eastAsia" w:cs="宋体"/>
          <w:sz w:val="28"/>
          <w:szCs w:val="28"/>
        </w:rPr>
        <w:tab/>
      </w:r>
      <w:r>
        <w:rPr>
          <w:rFonts w:hint="eastAsia" w:cs="宋体"/>
          <w:sz w:val="28"/>
          <w:szCs w:val="28"/>
        </w:rPr>
        <w:fldChar w:fldCharType="begin"/>
      </w:r>
      <w:r>
        <w:rPr>
          <w:rFonts w:hint="eastAsia" w:cs="宋体"/>
          <w:sz w:val="28"/>
          <w:szCs w:val="28"/>
        </w:rPr>
        <w:instrText xml:space="preserve"> PAGEREF _Toc99301373 \h </w:instrText>
      </w:r>
      <w:r>
        <w:rPr>
          <w:rFonts w:hint="eastAsia" w:cs="宋体"/>
          <w:sz w:val="28"/>
          <w:szCs w:val="28"/>
        </w:rPr>
        <w:fldChar w:fldCharType="separate"/>
      </w:r>
      <w:r>
        <w:rPr>
          <w:rFonts w:hint="eastAsia" w:cs="宋体"/>
          <w:sz w:val="28"/>
          <w:szCs w:val="28"/>
        </w:rPr>
        <w:t>2</w:t>
      </w:r>
      <w:r>
        <w:rPr>
          <w:rFonts w:hint="eastAsia" w:cs="宋体"/>
          <w:sz w:val="28"/>
          <w:szCs w:val="28"/>
        </w:rPr>
        <w:fldChar w:fldCharType="end"/>
      </w:r>
      <w:r>
        <w:rPr>
          <w:rFonts w:hint="eastAsia" w:cs="宋体"/>
          <w:sz w:val="28"/>
          <w:szCs w:val="28"/>
        </w:rPr>
        <w:fldChar w:fldCharType="end"/>
      </w:r>
    </w:p>
    <w:p>
      <w:pPr>
        <w:pStyle w:val="31"/>
        <w:spacing w:line="1000" w:lineRule="exact"/>
        <w:rPr>
          <w:rFonts w:cs="宋体"/>
          <w:b w:val="0"/>
          <w:sz w:val="28"/>
          <w:szCs w:val="28"/>
        </w:rPr>
      </w:pPr>
      <w:r>
        <w:fldChar w:fldCharType="begin"/>
      </w:r>
      <w:r>
        <w:instrText xml:space="preserve"> HYPERLINK \l "_Toc99301374" </w:instrText>
      </w:r>
      <w:r>
        <w:fldChar w:fldCharType="separate"/>
      </w:r>
      <w:r>
        <w:rPr>
          <w:rStyle w:val="51"/>
          <w:rFonts w:hint="eastAsia" w:cs="宋体"/>
          <w:sz w:val="28"/>
          <w:szCs w:val="28"/>
        </w:rPr>
        <w:t>第二章   供应商须知</w:t>
      </w:r>
      <w:r>
        <w:rPr>
          <w:rFonts w:hint="eastAsia" w:cs="宋体"/>
          <w:sz w:val="28"/>
          <w:szCs w:val="28"/>
        </w:rPr>
        <w:tab/>
      </w:r>
      <w:r>
        <w:rPr>
          <w:rFonts w:hint="eastAsia" w:cs="宋体"/>
          <w:sz w:val="28"/>
          <w:szCs w:val="28"/>
        </w:rPr>
        <w:fldChar w:fldCharType="begin"/>
      </w:r>
      <w:r>
        <w:rPr>
          <w:rFonts w:hint="eastAsia" w:cs="宋体"/>
          <w:sz w:val="28"/>
          <w:szCs w:val="28"/>
        </w:rPr>
        <w:instrText xml:space="preserve"> PAGEREF _Toc99301374 \h </w:instrText>
      </w:r>
      <w:r>
        <w:rPr>
          <w:rFonts w:hint="eastAsia" w:cs="宋体"/>
          <w:sz w:val="28"/>
          <w:szCs w:val="28"/>
        </w:rPr>
        <w:fldChar w:fldCharType="separate"/>
      </w:r>
      <w:r>
        <w:rPr>
          <w:rFonts w:hint="eastAsia" w:cs="宋体"/>
          <w:sz w:val="28"/>
          <w:szCs w:val="28"/>
        </w:rPr>
        <w:t>7</w:t>
      </w:r>
      <w:r>
        <w:rPr>
          <w:rFonts w:hint="eastAsia" w:cs="宋体"/>
          <w:sz w:val="28"/>
          <w:szCs w:val="28"/>
        </w:rPr>
        <w:fldChar w:fldCharType="end"/>
      </w:r>
      <w:r>
        <w:rPr>
          <w:rFonts w:hint="eastAsia" w:cs="宋体"/>
          <w:sz w:val="28"/>
          <w:szCs w:val="28"/>
        </w:rPr>
        <w:fldChar w:fldCharType="end"/>
      </w:r>
    </w:p>
    <w:p>
      <w:pPr>
        <w:pStyle w:val="31"/>
        <w:spacing w:line="1000" w:lineRule="exact"/>
        <w:rPr>
          <w:rFonts w:cs="宋体"/>
          <w:b w:val="0"/>
          <w:sz w:val="28"/>
          <w:szCs w:val="28"/>
        </w:rPr>
      </w:pPr>
      <w:r>
        <w:fldChar w:fldCharType="begin"/>
      </w:r>
      <w:r>
        <w:instrText xml:space="preserve"> HYPERLINK \l "_Toc99301375" </w:instrText>
      </w:r>
      <w:r>
        <w:fldChar w:fldCharType="separate"/>
      </w:r>
      <w:r>
        <w:rPr>
          <w:rStyle w:val="51"/>
          <w:rFonts w:hint="eastAsia" w:cs="宋体"/>
          <w:sz w:val="28"/>
          <w:szCs w:val="28"/>
        </w:rPr>
        <w:t>第三章   评审程序和评定成交的标准</w:t>
      </w:r>
      <w:r>
        <w:rPr>
          <w:rFonts w:hint="eastAsia" w:cs="宋体"/>
          <w:sz w:val="28"/>
          <w:szCs w:val="28"/>
        </w:rPr>
        <w:tab/>
      </w:r>
      <w:r>
        <w:rPr>
          <w:rFonts w:hint="eastAsia" w:cs="宋体"/>
          <w:sz w:val="28"/>
          <w:szCs w:val="28"/>
        </w:rPr>
        <w:fldChar w:fldCharType="begin"/>
      </w:r>
      <w:r>
        <w:rPr>
          <w:rFonts w:hint="eastAsia" w:cs="宋体"/>
          <w:sz w:val="28"/>
          <w:szCs w:val="28"/>
        </w:rPr>
        <w:instrText xml:space="preserve"> PAGEREF _Toc99301375 \h </w:instrText>
      </w:r>
      <w:r>
        <w:rPr>
          <w:rFonts w:hint="eastAsia" w:cs="宋体"/>
          <w:sz w:val="28"/>
          <w:szCs w:val="28"/>
        </w:rPr>
        <w:fldChar w:fldCharType="separate"/>
      </w:r>
      <w:r>
        <w:rPr>
          <w:rFonts w:hint="eastAsia" w:cs="宋体"/>
          <w:sz w:val="28"/>
          <w:szCs w:val="28"/>
        </w:rPr>
        <w:t>10</w:t>
      </w:r>
      <w:r>
        <w:rPr>
          <w:rFonts w:hint="eastAsia" w:cs="宋体"/>
          <w:sz w:val="28"/>
          <w:szCs w:val="28"/>
        </w:rPr>
        <w:fldChar w:fldCharType="end"/>
      </w:r>
      <w:r>
        <w:rPr>
          <w:rFonts w:hint="eastAsia" w:cs="宋体"/>
          <w:sz w:val="28"/>
          <w:szCs w:val="28"/>
        </w:rPr>
        <w:fldChar w:fldCharType="end"/>
      </w:r>
    </w:p>
    <w:p>
      <w:pPr>
        <w:pStyle w:val="31"/>
        <w:spacing w:line="1000" w:lineRule="exact"/>
        <w:rPr>
          <w:rFonts w:cs="宋体"/>
          <w:b w:val="0"/>
          <w:sz w:val="28"/>
          <w:szCs w:val="28"/>
        </w:rPr>
      </w:pPr>
      <w:r>
        <w:fldChar w:fldCharType="begin"/>
      </w:r>
      <w:r>
        <w:instrText xml:space="preserve"> HYPERLINK \l "_Toc99301376" </w:instrText>
      </w:r>
      <w:r>
        <w:fldChar w:fldCharType="separate"/>
      </w:r>
      <w:r>
        <w:rPr>
          <w:rStyle w:val="51"/>
          <w:rFonts w:hint="eastAsia" w:cs="宋体"/>
          <w:sz w:val="28"/>
          <w:szCs w:val="28"/>
        </w:rPr>
        <w:t>第四章   采购需求</w:t>
      </w:r>
      <w:r>
        <w:rPr>
          <w:rFonts w:hint="eastAsia" w:cs="宋体"/>
          <w:sz w:val="28"/>
          <w:szCs w:val="28"/>
        </w:rPr>
        <w:tab/>
      </w:r>
      <w:r>
        <w:rPr>
          <w:rFonts w:hint="eastAsia" w:cs="宋体"/>
          <w:sz w:val="28"/>
          <w:szCs w:val="28"/>
        </w:rPr>
        <w:fldChar w:fldCharType="begin"/>
      </w:r>
      <w:r>
        <w:rPr>
          <w:rFonts w:hint="eastAsia" w:cs="宋体"/>
          <w:sz w:val="28"/>
          <w:szCs w:val="28"/>
        </w:rPr>
        <w:instrText xml:space="preserve"> PAGEREF _Toc99301376 \h </w:instrText>
      </w:r>
      <w:r>
        <w:rPr>
          <w:rFonts w:hint="eastAsia" w:cs="宋体"/>
          <w:sz w:val="28"/>
          <w:szCs w:val="28"/>
        </w:rPr>
        <w:fldChar w:fldCharType="separate"/>
      </w:r>
      <w:r>
        <w:rPr>
          <w:rFonts w:hint="eastAsia" w:cs="宋体"/>
          <w:sz w:val="28"/>
          <w:szCs w:val="28"/>
        </w:rPr>
        <w:t>26</w:t>
      </w:r>
      <w:r>
        <w:rPr>
          <w:rFonts w:hint="eastAsia" w:cs="宋体"/>
          <w:sz w:val="28"/>
          <w:szCs w:val="28"/>
        </w:rPr>
        <w:fldChar w:fldCharType="end"/>
      </w:r>
      <w:r>
        <w:rPr>
          <w:rFonts w:hint="eastAsia" w:cs="宋体"/>
          <w:sz w:val="28"/>
          <w:szCs w:val="28"/>
        </w:rPr>
        <w:fldChar w:fldCharType="end"/>
      </w:r>
    </w:p>
    <w:p>
      <w:pPr>
        <w:pStyle w:val="31"/>
        <w:spacing w:line="1000" w:lineRule="exact"/>
        <w:rPr>
          <w:rFonts w:cs="宋体"/>
          <w:b w:val="0"/>
          <w:sz w:val="28"/>
          <w:szCs w:val="28"/>
        </w:rPr>
      </w:pPr>
      <w:r>
        <w:fldChar w:fldCharType="begin"/>
      </w:r>
      <w:r>
        <w:instrText xml:space="preserve"> HYPERLINK \l "_Toc99301377" </w:instrText>
      </w:r>
      <w:r>
        <w:fldChar w:fldCharType="separate"/>
      </w:r>
      <w:r>
        <w:rPr>
          <w:rStyle w:val="51"/>
          <w:rFonts w:hint="eastAsia" w:cs="宋体"/>
          <w:sz w:val="28"/>
          <w:szCs w:val="28"/>
        </w:rPr>
        <w:t>第五章   合同草案条款</w:t>
      </w:r>
      <w:r>
        <w:rPr>
          <w:rFonts w:hint="eastAsia" w:cs="宋体"/>
          <w:sz w:val="28"/>
          <w:szCs w:val="28"/>
        </w:rPr>
        <w:tab/>
      </w:r>
      <w:r>
        <w:rPr>
          <w:rFonts w:hint="eastAsia" w:cs="宋体"/>
          <w:sz w:val="28"/>
          <w:szCs w:val="28"/>
        </w:rPr>
        <w:fldChar w:fldCharType="begin"/>
      </w:r>
      <w:r>
        <w:rPr>
          <w:rFonts w:hint="eastAsia" w:cs="宋体"/>
          <w:sz w:val="28"/>
          <w:szCs w:val="28"/>
        </w:rPr>
        <w:instrText xml:space="preserve"> PAGEREF _Toc99301377 \h </w:instrText>
      </w:r>
      <w:r>
        <w:rPr>
          <w:rFonts w:hint="eastAsia" w:cs="宋体"/>
          <w:sz w:val="28"/>
          <w:szCs w:val="28"/>
        </w:rPr>
        <w:fldChar w:fldCharType="separate"/>
      </w:r>
      <w:r>
        <w:rPr>
          <w:rFonts w:hint="eastAsia" w:cs="宋体"/>
          <w:sz w:val="28"/>
          <w:szCs w:val="28"/>
        </w:rPr>
        <w:t>27</w:t>
      </w:r>
      <w:r>
        <w:rPr>
          <w:rFonts w:hint="eastAsia" w:cs="宋体"/>
          <w:sz w:val="28"/>
          <w:szCs w:val="28"/>
        </w:rPr>
        <w:fldChar w:fldCharType="end"/>
      </w:r>
      <w:r>
        <w:rPr>
          <w:rFonts w:hint="eastAsia" w:cs="宋体"/>
          <w:sz w:val="28"/>
          <w:szCs w:val="28"/>
        </w:rPr>
        <w:fldChar w:fldCharType="end"/>
      </w:r>
    </w:p>
    <w:p>
      <w:pPr>
        <w:pStyle w:val="31"/>
        <w:spacing w:line="1000" w:lineRule="exact"/>
        <w:rPr>
          <w:rFonts w:ascii="Times New Roman" w:hAnsi="Times New Roman"/>
          <w:b w:val="0"/>
          <w:sz w:val="21"/>
          <w:szCs w:val="22"/>
        </w:rPr>
      </w:pPr>
      <w:r>
        <w:fldChar w:fldCharType="begin"/>
      </w:r>
      <w:r>
        <w:instrText xml:space="preserve"> HYPERLINK \l "_Toc99301378" </w:instrText>
      </w:r>
      <w:r>
        <w:fldChar w:fldCharType="separate"/>
      </w:r>
      <w:r>
        <w:rPr>
          <w:rStyle w:val="51"/>
          <w:rFonts w:hint="eastAsia" w:cs="宋体"/>
          <w:sz w:val="28"/>
          <w:szCs w:val="28"/>
        </w:rPr>
        <w:t>第六章   响应文件格式</w:t>
      </w:r>
      <w:r>
        <w:rPr>
          <w:rFonts w:hint="eastAsia" w:cs="宋体"/>
          <w:sz w:val="28"/>
          <w:szCs w:val="28"/>
        </w:rPr>
        <w:tab/>
      </w:r>
      <w:bookmarkStart w:id="1" w:name="_Hlt101186894"/>
      <w:bookmarkStart w:id="2" w:name="_Hlt101186893"/>
      <w:r>
        <w:rPr>
          <w:rFonts w:hint="eastAsia" w:cs="宋体"/>
          <w:sz w:val="28"/>
          <w:szCs w:val="28"/>
        </w:rPr>
        <w:fldChar w:fldCharType="begin"/>
      </w:r>
      <w:r>
        <w:rPr>
          <w:rFonts w:hint="eastAsia" w:cs="宋体"/>
          <w:sz w:val="28"/>
          <w:szCs w:val="28"/>
        </w:rPr>
        <w:instrText xml:space="preserve"> PAGEREF _Toc99301378 \h </w:instrText>
      </w:r>
      <w:r>
        <w:rPr>
          <w:rFonts w:hint="eastAsia" w:cs="宋体"/>
          <w:sz w:val="28"/>
          <w:szCs w:val="28"/>
        </w:rPr>
        <w:fldChar w:fldCharType="separate"/>
      </w:r>
      <w:r>
        <w:rPr>
          <w:rFonts w:hint="eastAsia" w:cs="宋体"/>
          <w:sz w:val="28"/>
          <w:szCs w:val="28"/>
        </w:rPr>
        <w:t>54</w:t>
      </w:r>
      <w:r>
        <w:rPr>
          <w:rFonts w:hint="eastAsia" w:cs="宋体"/>
          <w:sz w:val="28"/>
          <w:szCs w:val="28"/>
        </w:rPr>
        <w:fldChar w:fldCharType="end"/>
      </w:r>
      <w:bookmarkEnd w:id="1"/>
      <w:bookmarkEnd w:id="2"/>
      <w:r>
        <w:rPr>
          <w:rFonts w:hint="eastAsia" w:cs="宋体"/>
          <w:sz w:val="28"/>
          <w:szCs w:val="28"/>
        </w:rPr>
        <w:fldChar w:fldCharType="end"/>
      </w:r>
    </w:p>
    <w:p>
      <w:pPr>
        <w:spacing w:line="480" w:lineRule="auto"/>
        <w:rPr>
          <w:b/>
          <w:sz w:val="36"/>
          <w:szCs w:val="36"/>
        </w:rPr>
      </w:pPr>
      <w:r>
        <w:rPr>
          <w:b/>
        </w:rPr>
        <w:fldChar w:fldCharType="end"/>
      </w:r>
    </w:p>
    <w:p>
      <w:pPr>
        <w:widowControl/>
        <w:jc w:val="center"/>
        <w:rPr>
          <w:b/>
          <w:sz w:val="30"/>
          <w:szCs w:val="30"/>
        </w:rPr>
      </w:pPr>
      <w:bookmarkStart w:id="3" w:name="_Toc99301373"/>
      <w:r>
        <w:rPr>
          <w:b/>
          <w:sz w:val="36"/>
          <w:szCs w:val="36"/>
        </w:rPr>
        <w:br w:type="page"/>
      </w:r>
      <w:r>
        <w:rPr>
          <w:b/>
          <w:sz w:val="30"/>
          <w:szCs w:val="30"/>
        </w:rPr>
        <w:t>第一章   采购邀请</w:t>
      </w:r>
      <w:bookmarkEnd w:id="3"/>
    </w:p>
    <w:p>
      <w:pPr>
        <w:spacing w:line="360" w:lineRule="auto"/>
        <w:ind w:firstLine="640" w:firstLineChars="200"/>
        <w:rPr>
          <w:sz w:val="32"/>
          <w:szCs w:val="32"/>
        </w:rPr>
      </w:pPr>
    </w:p>
    <w:p>
      <w:pPr>
        <w:pStyle w:val="4"/>
        <w:spacing w:before="0" w:line="360" w:lineRule="auto"/>
        <w:jc w:val="left"/>
        <w:rPr>
          <w:rFonts w:ascii="宋体" w:hAnsi="宋体" w:eastAsia="宋体" w:cs="宋体"/>
          <w:sz w:val="24"/>
          <w:szCs w:val="24"/>
        </w:rPr>
      </w:pPr>
      <w:bookmarkStart w:id="4" w:name="_Toc28359002"/>
      <w:bookmarkStart w:id="5" w:name="_Toc35393621"/>
      <w:bookmarkStart w:id="6" w:name="_Toc28359079"/>
      <w:bookmarkStart w:id="7" w:name="_Toc35393790"/>
      <w:bookmarkStart w:id="8" w:name="_Hlk24379207"/>
      <w:r>
        <w:rPr>
          <w:rFonts w:hint="eastAsia" w:ascii="宋体" w:hAnsi="宋体" w:eastAsia="宋体" w:cs="宋体"/>
          <w:sz w:val="24"/>
          <w:szCs w:val="24"/>
        </w:rPr>
        <w:t>一、项目基本情况</w:t>
      </w:r>
      <w:bookmarkEnd w:id="4"/>
      <w:bookmarkEnd w:id="5"/>
      <w:bookmarkEnd w:id="6"/>
      <w:bookmarkEnd w:id="7"/>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1.项目编号：</w:t>
      </w:r>
      <w:r>
        <w:rPr>
          <w:rFonts w:hint="eastAsia" w:ascii="宋体" w:hAnsi="宋体" w:cs="宋体"/>
          <w:sz w:val="24"/>
          <w:lang w:eastAsia="zh-CN"/>
        </w:rPr>
        <w:t>名源-JT2022-003号</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2.项目名称：</w:t>
      </w:r>
      <w:r>
        <w:rPr>
          <w:rFonts w:hint="eastAsia" w:ascii="宋体" w:hAnsi="宋体" w:cs="宋体"/>
          <w:sz w:val="24"/>
          <w:lang w:eastAsia="zh-CN"/>
        </w:rPr>
        <w:t>金城镇养老服务综合体修缮工程</w:t>
      </w:r>
    </w:p>
    <w:p>
      <w:pPr>
        <w:spacing w:line="360" w:lineRule="auto"/>
        <w:ind w:firstLine="480" w:firstLineChars="200"/>
        <w:rPr>
          <w:rFonts w:ascii="宋体" w:hAnsi="宋体" w:cs="宋体"/>
          <w:sz w:val="24"/>
        </w:rPr>
      </w:pPr>
      <w:r>
        <w:rPr>
          <w:rFonts w:hint="eastAsia" w:ascii="宋体" w:hAnsi="宋体" w:cs="宋体"/>
          <w:sz w:val="24"/>
        </w:rPr>
        <w:t>3.采购方式：竞争性谈判</w:t>
      </w:r>
    </w:p>
    <w:bookmarkEnd w:id="8"/>
    <w:p>
      <w:pPr>
        <w:spacing w:line="360" w:lineRule="auto"/>
        <w:ind w:firstLine="480" w:firstLineChars="200"/>
        <w:rPr>
          <w:rFonts w:ascii="宋体" w:hAnsi="宋体" w:cs="宋体"/>
          <w:sz w:val="24"/>
        </w:rPr>
      </w:pPr>
      <w:r>
        <w:rPr>
          <w:rFonts w:hint="eastAsia" w:ascii="宋体" w:hAnsi="宋体" w:cs="宋体"/>
          <w:sz w:val="24"/>
        </w:rPr>
        <w:t>4.项目预算金额：</w:t>
      </w:r>
      <w:r>
        <w:rPr>
          <w:rFonts w:hint="eastAsia" w:ascii="宋体" w:hAnsi="宋体"/>
          <w:sz w:val="24"/>
          <w:lang w:val="en-US" w:eastAsia="zh-CN"/>
        </w:rPr>
        <w:t>74</w:t>
      </w:r>
      <w:r>
        <w:rPr>
          <w:rFonts w:hint="eastAsia" w:ascii="宋体" w:hAnsi="宋体"/>
          <w:sz w:val="24"/>
        </w:rPr>
        <w:t>万元</w:t>
      </w:r>
      <w:r>
        <w:rPr>
          <w:rFonts w:hint="eastAsia" w:ascii="宋体" w:hAnsi="宋体" w:cs="宋体"/>
          <w:sz w:val="24"/>
        </w:rPr>
        <w:t>、项目最高限价：</w:t>
      </w:r>
      <w:r>
        <w:rPr>
          <w:rFonts w:hint="eastAsia" w:ascii="宋体" w:hAnsi="宋体" w:cs="宋体"/>
          <w:sz w:val="24"/>
          <w:u w:val="single"/>
          <w:lang w:val="en-US" w:eastAsia="zh-CN"/>
        </w:rPr>
        <w:t>737058.77</w:t>
      </w:r>
      <w:r>
        <w:rPr>
          <w:rFonts w:hint="eastAsia" w:ascii="宋体" w:hAnsi="宋体" w:cs="宋体"/>
          <w:sz w:val="24"/>
        </w:rPr>
        <w:t>元，</w:t>
      </w:r>
      <w:r>
        <w:rPr>
          <w:rFonts w:hint="eastAsia"/>
          <w:sz w:val="24"/>
        </w:rPr>
        <w:t>谈判报价不得高于最高限价（单价或总价）,超过最高限价（单价或总价）的作无效</w:t>
      </w:r>
      <w:r>
        <w:rPr>
          <w:rFonts w:hint="eastAsia"/>
          <w:sz w:val="24"/>
          <w:lang w:eastAsia="zh-CN"/>
        </w:rPr>
        <w:t>响应文件</w:t>
      </w:r>
      <w:r>
        <w:rPr>
          <w:rFonts w:hint="eastAsia"/>
          <w:sz w:val="24"/>
        </w:rPr>
        <w:t>处理</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5.采购需求：</w:t>
      </w:r>
      <w:r>
        <w:rPr>
          <w:rFonts w:hint="eastAsia" w:ascii="宋体" w:hAnsi="宋体" w:cs="宋体"/>
          <w:bCs/>
          <w:sz w:val="24"/>
          <w:szCs w:val="24"/>
          <w:highlight w:val="none"/>
          <w:lang w:val="en-US" w:eastAsia="zh-CN"/>
        </w:rPr>
        <w:t>金城镇养老服务综合体修缮工程</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具体详见图纸及工程量清单（含编制说明）</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6.合同履行</w:t>
      </w:r>
      <w:r>
        <w:rPr>
          <w:rFonts w:hint="eastAsia" w:ascii="宋体" w:hAnsi="宋体" w:cs="宋体"/>
          <w:color w:val="auto"/>
          <w:sz w:val="24"/>
        </w:rPr>
        <w:t>期限：</w:t>
      </w:r>
      <w:r>
        <w:rPr>
          <w:rFonts w:hint="eastAsia" w:ascii="宋体" w:hAnsi="宋体" w:cs="宋体"/>
          <w:color w:val="auto"/>
          <w:sz w:val="24"/>
          <w:u w:val="single"/>
          <w:lang w:val="en-US" w:eastAsia="zh-CN"/>
        </w:rPr>
        <w:t>40</w:t>
      </w:r>
      <w:r>
        <w:rPr>
          <w:rFonts w:hint="eastAsia" w:ascii="宋体" w:hAnsi="宋体" w:cs="宋体"/>
          <w:color w:val="auto"/>
          <w:sz w:val="24"/>
        </w:rPr>
        <w:t>日历天。</w:t>
      </w:r>
    </w:p>
    <w:p>
      <w:pPr>
        <w:spacing w:line="360" w:lineRule="auto"/>
        <w:ind w:firstLine="480" w:firstLineChars="200"/>
        <w:rPr>
          <w:rFonts w:ascii="宋体" w:hAnsi="宋体" w:cs="宋体"/>
          <w:sz w:val="24"/>
        </w:rPr>
      </w:pPr>
      <w:r>
        <w:rPr>
          <w:rFonts w:hint="eastAsia" w:ascii="宋体" w:hAnsi="宋体" w:cs="宋体"/>
          <w:sz w:val="24"/>
        </w:rPr>
        <w:t>7.本项目是否接受联合体响应：</w:t>
      </w:r>
      <w:r>
        <w:rPr>
          <w:rFonts w:hint="eastAsia" w:ascii="宋体" w:hAnsi="宋体" w:cs="宋体"/>
          <w:sz w:val="24"/>
        </w:rPr>
        <w:sym w:font="Wingdings 2" w:char="00A3"/>
      </w:r>
      <w:r>
        <w:rPr>
          <w:rFonts w:hint="eastAsia" w:ascii="宋体" w:hAnsi="宋体" w:cs="宋体"/>
          <w:sz w:val="24"/>
        </w:rPr>
        <w:t xml:space="preserve">是  </w:t>
      </w:r>
      <w:r>
        <w:rPr>
          <w:rFonts w:hint="eastAsia" w:ascii="宋体" w:hAnsi="宋体" w:cs="宋体"/>
          <w:kern w:val="0"/>
          <w:sz w:val="24"/>
        </w:rPr>
        <w:t>■</w:t>
      </w:r>
      <w:r>
        <w:rPr>
          <w:rFonts w:hint="eastAsia" w:ascii="宋体" w:hAnsi="宋体" w:cs="宋体"/>
          <w:sz w:val="24"/>
        </w:rPr>
        <w:t>否。</w:t>
      </w:r>
    </w:p>
    <w:p>
      <w:pPr>
        <w:spacing w:line="360" w:lineRule="auto"/>
        <w:ind w:firstLine="480" w:firstLineChars="200"/>
        <w:rPr>
          <w:rFonts w:ascii="宋体" w:hAnsi="宋体" w:cs="宋体"/>
          <w:sz w:val="24"/>
        </w:rPr>
      </w:pPr>
      <w:bookmarkStart w:id="9" w:name="_Toc28359003"/>
      <w:bookmarkStart w:id="10" w:name="_Toc35393791"/>
      <w:bookmarkStart w:id="11" w:name="_Toc35393622"/>
      <w:bookmarkStart w:id="12" w:name="_Toc28359080"/>
      <w:r>
        <w:rPr>
          <w:rFonts w:hint="eastAsia" w:ascii="宋体" w:hAnsi="宋体" w:cs="宋体"/>
          <w:sz w:val="24"/>
        </w:rPr>
        <w:t>8.本项目是否接受进口产品响应：</w:t>
      </w:r>
      <w:r>
        <w:rPr>
          <w:rFonts w:hint="eastAsia" w:ascii="宋体" w:hAnsi="宋体" w:cs="宋体"/>
          <w:sz w:val="24"/>
        </w:rPr>
        <w:sym w:font="Wingdings 2" w:char="00A3"/>
      </w:r>
      <w:r>
        <w:rPr>
          <w:rFonts w:hint="eastAsia" w:ascii="宋体" w:hAnsi="宋体" w:cs="宋体"/>
          <w:sz w:val="24"/>
        </w:rPr>
        <w:t xml:space="preserve">是  </w:t>
      </w:r>
      <w:r>
        <w:rPr>
          <w:rFonts w:hint="eastAsia" w:ascii="宋体" w:hAnsi="宋体" w:cs="宋体"/>
          <w:kern w:val="0"/>
          <w:sz w:val="24"/>
        </w:rPr>
        <w:t>■</w:t>
      </w:r>
      <w:r>
        <w:rPr>
          <w:rFonts w:hint="eastAsia" w:ascii="宋体" w:hAnsi="宋体" w:cs="宋体"/>
          <w:sz w:val="24"/>
        </w:rPr>
        <w:t>否。</w:t>
      </w:r>
    </w:p>
    <w:p>
      <w:pPr>
        <w:pStyle w:val="4"/>
        <w:spacing w:before="0" w:line="360" w:lineRule="auto"/>
        <w:jc w:val="left"/>
        <w:rPr>
          <w:rFonts w:ascii="宋体" w:hAnsi="宋体" w:eastAsia="宋体" w:cs="宋体"/>
          <w:sz w:val="24"/>
          <w:szCs w:val="24"/>
        </w:rPr>
      </w:pPr>
      <w:r>
        <w:rPr>
          <w:rFonts w:hint="eastAsia" w:ascii="宋体" w:hAnsi="宋体" w:eastAsia="宋体" w:cs="宋体"/>
          <w:sz w:val="24"/>
          <w:szCs w:val="24"/>
        </w:rPr>
        <w:t>二、申请人的资格要求（须同时满足）</w:t>
      </w:r>
      <w:bookmarkEnd w:id="9"/>
      <w:bookmarkEnd w:id="10"/>
      <w:bookmarkEnd w:id="11"/>
      <w:bookmarkEnd w:id="12"/>
    </w:p>
    <w:p>
      <w:pPr>
        <w:spacing w:line="360" w:lineRule="auto"/>
        <w:ind w:firstLine="480" w:firstLineChars="200"/>
        <w:rPr>
          <w:rFonts w:ascii="宋体" w:hAnsi="宋体" w:cs="宋体"/>
          <w:sz w:val="24"/>
        </w:rPr>
      </w:pPr>
      <w:bookmarkStart w:id="13" w:name="_Toc28359081"/>
      <w:bookmarkStart w:id="14" w:name="_Toc28359004"/>
      <w:r>
        <w:rPr>
          <w:rFonts w:hint="eastAsia" w:ascii="宋体" w:hAnsi="宋体" w:cs="宋体"/>
          <w:sz w:val="24"/>
        </w:rPr>
        <w:t>1.满足《中华人民共和国政府采购法》第二十二条规定以及下列情形：</w:t>
      </w:r>
    </w:p>
    <w:p>
      <w:pPr>
        <w:spacing w:line="360" w:lineRule="auto"/>
        <w:ind w:firstLine="480" w:firstLineChars="200"/>
        <w:rPr>
          <w:rFonts w:ascii="宋体" w:hAnsi="宋体" w:cs="宋体"/>
          <w:sz w:val="24"/>
        </w:rPr>
      </w:pPr>
      <w:r>
        <w:rPr>
          <w:rFonts w:hint="eastAsia" w:ascii="宋体" w:hAnsi="宋体" w:cs="宋体"/>
          <w:sz w:val="24"/>
        </w:rPr>
        <w:t>1.1未被“信用中国”网站（WWW.creditchina.gov.cn）或“中国政府采购网”网站（www.ccgp.gov.cn）列入失信被执行人、重大税收违法案件当事人名单、政府采购严重失信行为记录名单；</w:t>
      </w:r>
    </w:p>
    <w:p>
      <w:pPr>
        <w:spacing w:line="360" w:lineRule="auto"/>
        <w:ind w:firstLine="480" w:firstLineChars="200"/>
        <w:rPr>
          <w:rFonts w:ascii="宋体" w:hAnsi="宋体" w:cs="宋体"/>
          <w:sz w:val="24"/>
        </w:rPr>
      </w:pPr>
      <w:r>
        <w:rPr>
          <w:rFonts w:hint="eastAsia" w:ascii="宋体" w:hAnsi="宋体" w:cs="宋体"/>
          <w:sz w:val="24"/>
        </w:rPr>
        <w:t>1.2单位负责人为同一人或者存在直接控股、管理关系的不同供应商（包含法定代表人为同一个人的两个及两个以上法人，母公司、全资子公司及其控股公司），不得参加同一合同项下的政府采购活动。</w:t>
      </w:r>
    </w:p>
    <w:p>
      <w:pPr>
        <w:spacing w:line="360" w:lineRule="auto"/>
        <w:ind w:firstLine="480" w:firstLineChars="200"/>
        <w:rPr>
          <w:rFonts w:ascii="宋体" w:hAnsi="宋体" w:cs="宋体"/>
          <w:sz w:val="24"/>
        </w:rPr>
      </w:pPr>
      <w:r>
        <w:rPr>
          <w:rFonts w:hint="eastAsia" w:ascii="宋体" w:hAnsi="宋体" w:cs="宋体"/>
          <w:sz w:val="24"/>
        </w:rPr>
        <w:t>2.落实政府采购政策需满足的资格要求：</w:t>
      </w:r>
    </w:p>
    <w:p>
      <w:pPr>
        <w:spacing w:line="360" w:lineRule="auto"/>
        <w:ind w:firstLine="480" w:firstLineChars="200"/>
        <w:rPr>
          <w:rFonts w:ascii="宋体" w:hAnsi="宋体" w:cs="宋体"/>
          <w:sz w:val="24"/>
        </w:rPr>
      </w:pPr>
      <w:r>
        <w:rPr>
          <w:rFonts w:hint="eastAsia" w:ascii="宋体" w:hAnsi="宋体" w:cs="宋体"/>
          <w:sz w:val="24"/>
        </w:rPr>
        <w:t>2.1 中小企业政策</w:t>
      </w:r>
    </w:p>
    <w:p>
      <w:pPr>
        <w:spacing w:line="360" w:lineRule="auto"/>
        <w:ind w:firstLine="480" w:firstLineChars="200"/>
        <w:rPr>
          <w:rFonts w:ascii="宋体" w:hAnsi="宋体" w:cs="宋体"/>
          <w:sz w:val="24"/>
        </w:rPr>
      </w:pPr>
      <w:r>
        <w:rPr>
          <w:rFonts w:hint="eastAsia" w:ascii="宋体" w:hAnsi="宋体" w:cs="宋体"/>
          <w:sz w:val="24"/>
        </w:rPr>
        <w:sym w:font="Wingdings 2" w:char="00A3"/>
      </w:r>
      <w:r>
        <w:rPr>
          <w:rFonts w:hint="eastAsia" w:ascii="宋体" w:hAnsi="宋体" w:cs="宋体"/>
          <w:sz w:val="24"/>
        </w:rPr>
        <w:t>本项目不专门面向中小企业预留采购份额。</w:t>
      </w:r>
    </w:p>
    <w:p>
      <w:pPr>
        <w:spacing w:line="360" w:lineRule="auto"/>
        <w:ind w:firstLine="480" w:firstLineChars="200"/>
        <w:rPr>
          <w:rFonts w:ascii="宋体" w:hAnsi="宋体" w:cs="宋体"/>
          <w:sz w:val="24"/>
        </w:rPr>
      </w:pPr>
      <w:r>
        <w:rPr>
          <w:rFonts w:hint="eastAsia" w:ascii="宋体" w:hAnsi="宋体" w:cs="宋体"/>
          <w:kern w:val="0"/>
          <w:sz w:val="24"/>
        </w:rPr>
        <w:t>■</w:t>
      </w:r>
      <w:r>
        <w:rPr>
          <w:rFonts w:hint="eastAsia" w:ascii="宋体" w:hAnsi="宋体" w:cs="宋体"/>
          <w:sz w:val="24"/>
        </w:rPr>
        <w:t xml:space="preserve">本项目专门面向  </w:t>
      </w:r>
      <w:r>
        <w:rPr>
          <w:rFonts w:hint="eastAsia" w:ascii="宋体" w:hAnsi="宋体" w:cs="宋体"/>
          <w:kern w:val="0"/>
          <w:sz w:val="24"/>
        </w:rPr>
        <w:t>■</w:t>
      </w:r>
      <w:r>
        <w:rPr>
          <w:rFonts w:hint="eastAsia" w:ascii="宋体" w:hAnsi="宋体" w:cs="宋体"/>
          <w:sz w:val="24"/>
        </w:rPr>
        <w:t xml:space="preserve">中小 </w:t>
      </w:r>
      <w:r>
        <w:rPr>
          <w:rFonts w:hint="eastAsia" w:ascii="宋体" w:hAnsi="宋体" w:cs="宋体"/>
          <w:sz w:val="24"/>
        </w:rPr>
        <w:sym w:font="Wingdings 2" w:char="00A3"/>
      </w:r>
      <w:r>
        <w:rPr>
          <w:rFonts w:hint="eastAsia" w:ascii="宋体" w:hAnsi="宋体" w:cs="宋体"/>
          <w:sz w:val="24"/>
        </w:rPr>
        <w:t>小微企业  采购。即：提供的货物全部由符合政策要求的中小/小微企业制造、服务全部由符合政策要求的中小/小微企业承接。</w:t>
      </w:r>
    </w:p>
    <w:p>
      <w:pPr>
        <w:spacing w:line="360" w:lineRule="auto"/>
        <w:ind w:firstLine="480" w:firstLineChars="200"/>
        <w:rPr>
          <w:rFonts w:ascii="宋体" w:hAnsi="宋体" w:cs="宋体"/>
          <w:sz w:val="24"/>
          <w:u w:val="single"/>
        </w:rPr>
      </w:pPr>
      <w:r>
        <w:rPr>
          <w:rFonts w:hint="eastAsia" w:ascii="宋体" w:hAnsi="宋体" w:cs="宋体"/>
          <w:sz w:val="24"/>
        </w:rPr>
        <w:sym w:font="Wingdings 2" w:char="00A3"/>
      </w:r>
      <w:r>
        <w:rPr>
          <w:rFonts w:hint="eastAsia" w:ascii="宋体" w:hAnsi="宋体" w:cs="宋体"/>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ascii="宋体" w:hAnsi="宋体" w:cs="宋体"/>
          <w:sz w:val="24"/>
          <w:u w:val="single"/>
        </w:rPr>
        <w:t xml:space="preserve">    /    </w:t>
      </w:r>
    </w:p>
    <w:p>
      <w:pPr>
        <w:spacing w:line="360" w:lineRule="auto"/>
        <w:ind w:firstLine="480" w:firstLineChars="200"/>
        <w:rPr>
          <w:rFonts w:ascii="宋体" w:hAnsi="宋体" w:cs="宋体"/>
          <w:sz w:val="24"/>
        </w:rPr>
      </w:pPr>
      <w:r>
        <w:rPr>
          <w:rFonts w:hint="eastAsia" w:ascii="宋体" w:hAnsi="宋体" w:cs="宋体"/>
          <w:sz w:val="24"/>
        </w:rPr>
        <w:t>2.2 其它落实政府采购政策的资格要求（如有）：</w:t>
      </w:r>
      <w:r>
        <w:rPr>
          <w:rFonts w:hint="eastAsia" w:ascii="宋体" w:hAnsi="宋体" w:cs="宋体"/>
          <w:sz w:val="24"/>
          <w:u w:val="single"/>
        </w:rPr>
        <w:t xml:space="preserve">   /    </w:t>
      </w:r>
    </w:p>
    <w:p>
      <w:pPr>
        <w:spacing w:line="360" w:lineRule="auto"/>
        <w:ind w:firstLine="480" w:firstLineChars="200"/>
        <w:rPr>
          <w:rFonts w:ascii="宋体" w:hAnsi="宋体" w:cs="宋体"/>
          <w:i/>
          <w:iCs/>
          <w:sz w:val="24"/>
          <w:u w:val="single"/>
        </w:rPr>
      </w:pPr>
      <w:r>
        <w:rPr>
          <w:rFonts w:hint="eastAsia" w:ascii="宋体" w:hAnsi="宋体" w:cs="宋体"/>
          <w:sz w:val="24"/>
        </w:rPr>
        <w:t>3.本项目的特定资格要求：</w:t>
      </w:r>
    </w:p>
    <w:p>
      <w:pPr>
        <w:tabs>
          <w:tab w:val="left" w:pos="900"/>
          <w:tab w:val="left" w:pos="1134"/>
          <w:tab w:val="left" w:pos="1589"/>
          <w:tab w:val="left" w:pos="5521"/>
        </w:tabs>
        <w:snapToGrid w:val="0"/>
        <w:spacing w:line="360" w:lineRule="auto"/>
        <w:ind w:firstLine="480" w:firstLineChars="200"/>
        <w:rPr>
          <w:rFonts w:ascii="宋体" w:hAnsi="宋体" w:cs="宋体"/>
          <w:sz w:val="24"/>
        </w:rPr>
      </w:pPr>
      <w:r>
        <w:rPr>
          <w:rFonts w:hint="eastAsia" w:ascii="宋体" w:hAnsi="宋体" w:cs="宋体"/>
          <w:sz w:val="24"/>
        </w:rPr>
        <w:t>3.1本项目是否接受分支机构参与响应：</w:t>
      </w:r>
      <w:r>
        <w:rPr>
          <w:rFonts w:hint="eastAsia" w:ascii="宋体" w:hAnsi="宋体" w:cs="宋体"/>
          <w:sz w:val="24"/>
        </w:rPr>
        <w:sym w:font="Wingdings 2" w:char="00A3"/>
      </w:r>
      <w:r>
        <w:rPr>
          <w:rFonts w:hint="eastAsia" w:ascii="宋体" w:hAnsi="宋体" w:cs="宋体"/>
          <w:sz w:val="24"/>
        </w:rPr>
        <w:t xml:space="preserve">是   </w:t>
      </w:r>
      <w:r>
        <w:rPr>
          <w:rFonts w:hint="eastAsia" w:ascii="宋体" w:hAnsi="宋体" w:cs="宋体"/>
          <w:kern w:val="0"/>
          <w:sz w:val="24"/>
        </w:rPr>
        <w:t>■</w:t>
      </w:r>
      <w:r>
        <w:rPr>
          <w:rFonts w:hint="eastAsia" w:ascii="宋体" w:hAnsi="宋体" w:cs="宋体"/>
          <w:sz w:val="24"/>
        </w:rPr>
        <w:t>否；（仅当项目涉及银行、保险、石油石化、电力、电信等行业有特殊情况的，可以接受分支机构参与）</w:t>
      </w:r>
    </w:p>
    <w:p>
      <w:pPr>
        <w:tabs>
          <w:tab w:val="left" w:pos="900"/>
          <w:tab w:val="left" w:pos="1134"/>
          <w:tab w:val="left" w:pos="1589"/>
          <w:tab w:val="left" w:pos="5521"/>
        </w:tabs>
        <w:snapToGrid w:val="0"/>
        <w:spacing w:line="360" w:lineRule="auto"/>
        <w:ind w:firstLine="480" w:firstLineChars="200"/>
        <w:rPr>
          <w:rFonts w:ascii="宋体" w:hAnsi="宋体" w:cs="宋体"/>
          <w:sz w:val="24"/>
        </w:rPr>
      </w:pPr>
      <w:r>
        <w:rPr>
          <w:rFonts w:hint="eastAsia" w:ascii="宋体" w:hAnsi="宋体" w:cs="宋体"/>
          <w:sz w:val="24"/>
        </w:rPr>
        <w:t>3.2本项目是否属于政府购买服务：</w:t>
      </w:r>
    </w:p>
    <w:p>
      <w:pPr>
        <w:tabs>
          <w:tab w:val="left" w:pos="900"/>
          <w:tab w:val="left" w:pos="1134"/>
          <w:tab w:val="left" w:pos="1589"/>
          <w:tab w:val="left" w:pos="5521"/>
        </w:tabs>
        <w:snapToGrid w:val="0"/>
        <w:spacing w:line="360" w:lineRule="auto"/>
        <w:ind w:left="991" w:leftChars="472" w:firstLine="2"/>
        <w:rPr>
          <w:rFonts w:ascii="宋体" w:hAnsi="宋体" w:cs="宋体"/>
          <w:sz w:val="24"/>
        </w:rPr>
      </w:pPr>
      <w:r>
        <w:rPr>
          <w:rFonts w:hint="eastAsia" w:ascii="宋体" w:hAnsi="宋体" w:cs="宋体"/>
          <w:sz w:val="24"/>
        </w:rPr>
        <w:sym w:font="Wingdings 2" w:char="00A3"/>
      </w:r>
      <w:r>
        <w:rPr>
          <w:rFonts w:hint="eastAsia" w:ascii="宋体" w:hAnsi="宋体" w:cs="宋体"/>
          <w:sz w:val="24"/>
        </w:rPr>
        <w:t>否</w:t>
      </w:r>
    </w:p>
    <w:p>
      <w:pPr>
        <w:tabs>
          <w:tab w:val="left" w:pos="900"/>
          <w:tab w:val="left" w:pos="1134"/>
          <w:tab w:val="left" w:pos="1589"/>
          <w:tab w:val="left" w:pos="5521"/>
        </w:tabs>
        <w:snapToGrid w:val="0"/>
        <w:spacing w:line="360" w:lineRule="auto"/>
        <w:ind w:left="991" w:leftChars="472" w:firstLine="2"/>
        <w:rPr>
          <w:rFonts w:ascii="宋体" w:hAnsi="宋体" w:cs="宋体"/>
          <w:sz w:val="24"/>
        </w:rPr>
      </w:pPr>
      <w:r>
        <w:rPr>
          <w:rFonts w:hint="eastAsia" w:ascii="宋体" w:hAnsi="宋体" w:cs="宋体"/>
          <w:kern w:val="0"/>
          <w:sz w:val="24"/>
        </w:rPr>
        <w:t>■</w:t>
      </w:r>
      <w:r>
        <w:rPr>
          <w:rFonts w:hint="eastAsia" w:ascii="宋体" w:hAnsi="宋体" w:cs="宋体"/>
          <w:sz w:val="24"/>
        </w:rPr>
        <w:t>是，公益一类事业单位、使用事业编制且由财政拨款保障的群团组织，不得作为承接主体；</w:t>
      </w:r>
    </w:p>
    <w:p>
      <w:pPr>
        <w:tabs>
          <w:tab w:val="left" w:pos="900"/>
          <w:tab w:val="left" w:pos="1134"/>
          <w:tab w:val="left" w:pos="1589"/>
          <w:tab w:val="left" w:pos="5521"/>
        </w:tabs>
        <w:snapToGrid w:val="0"/>
        <w:spacing w:line="360" w:lineRule="auto"/>
        <w:ind w:firstLine="480" w:firstLineChars="200"/>
        <w:rPr>
          <w:rFonts w:ascii="宋体" w:hAnsi="宋体" w:cs="宋体"/>
          <w:sz w:val="24"/>
        </w:rPr>
      </w:pPr>
      <w:r>
        <w:rPr>
          <w:rFonts w:hint="eastAsia" w:ascii="宋体" w:hAnsi="宋体" w:cs="宋体"/>
          <w:sz w:val="24"/>
        </w:rPr>
        <w:t>3.3 其他特定资格要求：</w:t>
      </w:r>
    </w:p>
    <w:p>
      <w:pPr>
        <w:tabs>
          <w:tab w:val="left" w:pos="900"/>
          <w:tab w:val="left" w:pos="1134"/>
          <w:tab w:val="left" w:pos="1589"/>
          <w:tab w:val="left" w:pos="5521"/>
        </w:tabs>
        <w:snapToGrid w:val="0"/>
        <w:spacing w:line="360" w:lineRule="auto"/>
        <w:ind w:firstLine="480" w:firstLineChars="200"/>
        <w:rPr>
          <w:rFonts w:ascii="宋体" w:hAnsi="宋体" w:cs="宋体"/>
          <w:sz w:val="24"/>
        </w:rPr>
      </w:pPr>
      <w:r>
        <w:rPr>
          <w:rFonts w:hint="eastAsia" w:ascii="宋体" w:hAnsi="宋体" w:cs="宋体"/>
          <w:sz w:val="24"/>
        </w:rPr>
        <w:t>（1）供应商应具备的资质为：</w:t>
      </w:r>
      <w:r>
        <w:rPr>
          <w:rFonts w:hint="eastAsia" w:ascii="宋体" w:hAnsi="宋体" w:cs="宋体"/>
          <w:sz w:val="24"/>
          <w:lang w:eastAsia="zh-CN"/>
        </w:rPr>
        <w:t>房屋</w:t>
      </w:r>
      <w:r>
        <w:rPr>
          <w:rFonts w:hint="eastAsia" w:ascii="宋体" w:hAnsi="宋体" w:cs="宋体"/>
          <w:sz w:val="24"/>
          <w:lang w:val="zh-CN"/>
        </w:rPr>
        <w:t>建筑工程施工总承包三级及以上资质</w:t>
      </w:r>
      <w:r>
        <w:rPr>
          <w:rFonts w:hint="eastAsia" w:ascii="宋体" w:hAnsi="宋体" w:cs="宋体"/>
          <w:sz w:val="24"/>
        </w:rPr>
        <w:t xml:space="preserve">及有效期内的安全生产许可证； </w:t>
      </w:r>
    </w:p>
    <w:p>
      <w:pPr>
        <w:tabs>
          <w:tab w:val="left" w:pos="900"/>
          <w:tab w:val="left" w:pos="1134"/>
          <w:tab w:val="left" w:pos="1589"/>
          <w:tab w:val="left" w:pos="5521"/>
        </w:tabs>
        <w:snapToGrid w:val="0"/>
        <w:spacing w:line="360" w:lineRule="auto"/>
        <w:ind w:firstLine="480" w:firstLineChars="200"/>
        <w:rPr>
          <w:rFonts w:ascii="宋体" w:hAnsi="宋体" w:cs="宋体"/>
          <w:i/>
          <w:iCs/>
          <w:sz w:val="24"/>
          <w:u w:val="single"/>
        </w:rPr>
      </w:pPr>
      <w:r>
        <w:rPr>
          <w:rFonts w:hint="eastAsia" w:ascii="宋体" w:hAnsi="宋体" w:cs="宋体"/>
          <w:sz w:val="24"/>
        </w:rPr>
        <w:t>（2）项目负责人具备的资格为：</w:t>
      </w:r>
      <w:r>
        <w:rPr>
          <w:rFonts w:hint="eastAsia" w:ascii="宋体" w:hAnsi="宋体" w:cs="宋体"/>
          <w:sz w:val="24"/>
          <w:lang w:val="zh-CN"/>
        </w:rPr>
        <w:t>建筑工程二级(含)以上建造师资格</w:t>
      </w:r>
      <w:r>
        <w:rPr>
          <w:rFonts w:hint="eastAsia" w:ascii="宋体" w:hAnsi="宋体" w:cs="宋体"/>
          <w:sz w:val="24"/>
        </w:rPr>
        <w:t>及安全生产许可证（B证）。</w:t>
      </w:r>
    </w:p>
    <w:bookmarkEnd w:id="13"/>
    <w:bookmarkEnd w:id="14"/>
    <w:p>
      <w:pPr>
        <w:pStyle w:val="4"/>
        <w:widowControl/>
        <w:spacing w:before="0" w:line="360" w:lineRule="auto"/>
        <w:jc w:val="left"/>
        <w:rPr>
          <w:rFonts w:ascii="宋体" w:hAnsi="宋体" w:eastAsia="宋体" w:cs="宋体"/>
          <w:color w:val="auto"/>
          <w:sz w:val="24"/>
          <w:szCs w:val="24"/>
        </w:rPr>
      </w:pPr>
      <w:bookmarkStart w:id="15" w:name="_Toc35393792"/>
      <w:bookmarkStart w:id="16" w:name="_Toc35393623"/>
      <w:r>
        <w:rPr>
          <w:rFonts w:hint="eastAsia" w:ascii="宋体" w:hAnsi="宋体" w:eastAsia="宋体" w:cs="宋体"/>
          <w:sz w:val="24"/>
          <w:szCs w:val="24"/>
        </w:rPr>
        <w:t>三、获取</w:t>
      </w:r>
      <w:bookmarkEnd w:id="15"/>
      <w:bookmarkEnd w:id="16"/>
      <w:r>
        <w:rPr>
          <w:rFonts w:hint="eastAsia" w:ascii="宋体" w:hAnsi="宋体" w:eastAsia="宋体" w:cs="宋体"/>
          <w:color w:val="auto"/>
          <w:sz w:val="24"/>
          <w:szCs w:val="24"/>
        </w:rPr>
        <w:t>采购文件</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1.时间：2022年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19</w:t>
      </w:r>
      <w:r>
        <w:rPr>
          <w:rFonts w:hint="eastAsia" w:ascii="宋体" w:hAnsi="宋体" w:cs="宋体"/>
          <w:color w:val="auto"/>
          <w:sz w:val="24"/>
        </w:rPr>
        <w:t>日至2022年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21</w:t>
      </w:r>
      <w:r>
        <w:rPr>
          <w:rFonts w:hint="eastAsia" w:ascii="宋体" w:hAnsi="宋体" w:cs="宋体"/>
          <w:color w:val="auto"/>
          <w:sz w:val="24"/>
        </w:rPr>
        <w:t>日，每天上午8:30至11:30，下午1</w:t>
      </w:r>
      <w:r>
        <w:rPr>
          <w:rFonts w:hint="eastAsia" w:ascii="宋体" w:hAnsi="宋体" w:cs="宋体"/>
          <w:color w:val="auto"/>
          <w:sz w:val="24"/>
          <w:lang w:val="en-US" w:eastAsia="zh-CN"/>
        </w:rPr>
        <w:t>3</w:t>
      </w:r>
      <w:r>
        <w:rPr>
          <w:rFonts w:hint="eastAsia" w:ascii="宋体" w:hAnsi="宋体" w:cs="宋体"/>
          <w:color w:val="auto"/>
          <w:sz w:val="24"/>
        </w:rPr>
        <w:t>:</w:t>
      </w:r>
      <w:r>
        <w:rPr>
          <w:rFonts w:hint="eastAsia" w:ascii="宋体" w:hAnsi="宋体" w:cs="宋体"/>
          <w:color w:val="auto"/>
          <w:sz w:val="24"/>
          <w:lang w:val="en-US" w:eastAsia="zh-CN"/>
        </w:rPr>
        <w:t>30</w:t>
      </w:r>
      <w:r>
        <w:rPr>
          <w:rFonts w:hint="eastAsia" w:ascii="宋体" w:hAnsi="宋体" w:cs="宋体"/>
          <w:color w:val="auto"/>
          <w:sz w:val="24"/>
        </w:rPr>
        <w:t>至17:00（北京时间，法定节假日除外）；</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2.地点：</w:t>
      </w:r>
      <w:r>
        <w:rPr>
          <w:rFonts w:hint="eastAsia" w:ascii="宋体" w:hAnsi="宋体" w:cs="宋体"/>
          <w:sz w:val="24"/>
          <w:lang w:eastAsia="zh-CN"/>
        </w:rPr>
        <w:t>常州名源全过程工程咨询有限公司</w:t>
      </w:r>
      <w:r>
        <w:rPr>
          <w:rFonts w:hint="eastAsia" w:ascii="宋体" w:hAnsi="宋体" w:cs="宋体"/>
          <w:sz w:val="24"/>
        </w:rPr>
        <w:t>（</w:t>
      </w:r>
      <w:r>
        <w:rPr>
          <w:rFonts w:hint="eastAsia" w:ascii="宋体" w:hAnsi="宋体" w:cs="宋体"/>
          <w:sz w:val="24"/>
          <w:lang w:eastAsia="zh-CN"/>
        </w:rPr>
        <w:t>常州市金坛区金沙科技金融中心B幢1202</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3.方式：线下购买；</w:t>
      </w:r>
    </w:p>
    <w:p>
      <w:pPr>
        <w:adjustRightInd w:val="0"/>
        <w:snapToGrid w:val="0"/>
        <w:spacing w:line="360" w:lineRule="auto"/>
        <w:ind w:firstLine="720" w:firstLineChars="300"/>
        <w:rPr>
          <w:rFonts w:ascii="宋体" w:hAnsi="宋体" w:cs="宋体"/>
          <w:sz w:val="24"/>
        </w:rPr>
      </w:pPr>
      <w:r>
        <w:rPr>
          <w:rFonts w:hint="eastAsia" w:ascii="宋体" w:hAnsi="宋体" w:cs="宋体"/>
          <w:kern w:val="0"/>
          <w:sz w:val="24"/>
        </w:rPr>
        <w:t>网上获取：响应人将报名申请表盖章扫描件发至</w:t>
      </w:r>
      <w:r>
        <w:rPr>
          <w:rFonts w:hint="eastAsia" w:ascii="宋体" w:hAnsi="宋体" w:cs="宋体"/>
          <w:kern w:val="0"/>
          <w:sz w:val="24"/>
          <w:lang w:eastAsia="zh-CN"/>
        </w:rPr>
        <w:t>853372260</w:t>
      </w:r>
      <w:r>
        <w:rPr>
          <w:rFonts w:hint="eastAsia" w:ascii="宋体" w:hAnsi="宋体" w:cs="宋体"/>
          <w:kern w:val="0"/>
          <w:sz w:val="24"/>
        </w:rPr>
        <w:t>@qq.com。</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4.售价：本套谈判文件售价人民币500元/套，售后不退，未报名的单位不得参与投标。</w:t>
      </w:r>
    </w:p>
    <w:p>
      <w:pPr>
        <w:pStyle w:val="4"/>
        <w:widowControl/>
        <w:spacing w:before="0" w:line="360" w:lineRule="auto"/>
        <w:jc w:val="left"/>
        <w:rPr>
          <w:rFonts w:ascii="宋体" w:hAnsi="宋体" w:eastAsia="宋体" w:cs="宋体"/>
          <w:color w:val="auto"/>
          <w:sz w:val="24"/>
          <w:szCs w:val="24"/>
        </w:rPr>
      </w:pPr>
      <w:bookmarkStart w:id="17" w:name="_Toc28359082"/>
      <w:bookmarkStart w:id="18" w:name="_Toc35393793"/>
      <w:bookmarkStart w:id="19" w:name="_Toc28359005"/>
      <w:bookmarkStart w:id="20" w:name="_Toc35393624"/>
      <w:r>
        <w:rPr>
          <w:rFonts w:hint="eastAsia" w:ascii="宋体" w:hAnsi="宋体" w:eastAsia="宋体" w:cs="宋体"/>
          <w:sz w:val="24"/>
          <w:szCs w:val="24"/>
        </w:rPr>
        <w:t>四、</w:t>
      </w:r>
      <w:bookmarkEnd w:id="17"/>
      <w:bookmarkEnd w:id="18"/>
      <w:bookmarkEnd w:id="19"/>
      <w:bookmarkEnd w:id="20"/>
      <w:r>
        <w:rPr>
          <w:rFonts w:hint="eastAsia" w:ascii="宋体" w:hAnsi="宋体" w:eastAsia="宋体" w:cs="宋体"/>
          <w:sz w:val="24"/>
          <w:szCs w:val="24"/>
        </w:rPr>
        <w:t>响应文件</w:t>
      </w:r>
      <w:r>
        <w:rPr>
          <w:rFonts w:hint="eastAsia" w:ascii="宋体" w:hAnsi="宋体" w:eastAsia="宋体" w:cs="宋体"/>
          <w:color w:val="auto"/>
          <w:sz w:val="24"/>
          <w:szCs w:val="24"/>
        </w:rPr>
        <w:t>提交</w:t>
      </w:r>
    </w:p>
    <w:p>
      <w:pPr>
        <w:spacing w:line="360" w:lineRule="auto"/>
        <w:ind w:firstLine="480" w:firstLineChars="200"/>
        <w:rPr>
          <w:rFonts w:ascii="宋体" w:hAnsi="宋体" w:cs="宋体"/>
          <w:bCs/>
          <w:color w:val="auto"/>
          <w:sz w:val="24"/>
          <w:u w:val="single"/>
        </w:rPr>
      </w:pPr>
      <w:r>
        <w:rPr>
          <w:rFonts w:hint="eastAsia" w:ascii="宋体" w:hAnsi="宋体" w:cs="宋体"/>
          <w:color w:val="auto"/>
          <w:sz w:val="24"/>
        </w:rPr>
        <w:t>截止时间：2022年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28</w:t>
      </w:r>
      <w:r>
        <w:rPr>
          <w:rFonts w:hint="eastAsia" w:ascii="宋体" w:hAnsi="宋体" w:cs="宋体"/>
          <w:color w:val="auto"/>
          <w:sz w:val="24"/>
        </w:rPr>
        <w:t>日14点</w:t>
      </w:r>
      <w:r>
        <w:rPr>
          <w:rFonts w:hint="eastAsia" w:ascii="宋体" w:hAnsi="宋体" w:cs="宋体"/>
          <w:color w:val="auto"/>
          <w:sz w:val="24"/>
          <w:lang w:val="en-US" w:eastAsia="zh-CN"/>
        </w:rPr>
        <w:t>00</w:t>
      </w:r>
      <w:r>
        <w:rPr>
          <w:rFonts w:hint="eastAsia" w:ascii="宋体" w:hAnsi="宋体" w:cs="宋体"/>
          <w:color w:val="auto"/>
          <w:sz w:val="24"/>
        </w:rPr>
        <w:t>分</w:t>
      </w:r>
      <w:r>
        <w:rPr>
          <w:rFonts w:hint="eastAsia" w:ascii="宋体" w:hAnsi="宋体" w:cs="宋体"/>
          <w:bCs/>
          <w:color w:val="auto"/>
          <w:sz w:val="24"/>
        </w:rPr>
        <w:t>（北京时间）</w:t>
      </w:r>
      <w:r>
        <w:rPr>
          <w:rFonts w:hint="eastAsia" w:ascii="宋体" w:hAnsi="宋体" w:cs="宋体"/>
          <w:iCs/>
          <w:color w:val="auto"/>
          <w:sz w:val="24"/>
        </w:rPr>
        <w:t>。</w:t>
      </w:r>
    </w:p>
    <w:p>
      <w:pPr>
        <w:spacing w:line="360" w:lineRule="auto"/>
        <w:ind w:left="479" w:leftChars="228"/>
        <w:rPr>
          <w:rFonts w:ascii="宋体" w:hAnsi="宋体" w:cs="宋体"/>
          <w:bCs/>
          <w:sz w:val="24"/>
          <w:u w:val="single"/>
        </w:rPr>
      </w:pPr>
      <w:r>
        <w:rPr>
          <w:rFonts w:hint="eastAsia" w:ascii="宋体" w:hAnsi="宋体" w:cs="宋体"/>
          <w:color w:val="auto"/>
          <w:sz w:val="24"/>
        </w:rPr>
        <w:t>地点：</w:t>
      </w:r>
      <w:r>
        <w:rPr>
          <w:rFonts w:hint="eastAsia" w:ascii="宋体" w:hAnsi="宋体"/>
          <w:color w:val="auto"/>
          <w:sz w:val="24"/>
        </w:rPr>
        <w:t>常州市金坛区市民中心C栋5楼</w:t>
      </w:r>
      <w:r>
        <w:rPr>
          <w:rFonts w:hint="eastAsia" w:ascii="宋体" w:hAnsi="宋体"/>
          <w:color w:val="auto"/>
          <w:sz w:val="24"/>
          <w:lang w:val="en-US" w:eastAsia="zh-CN"/>
        </w:rPr>
        <w:t>0503</w:t>
      </w:r>
      <w:r>
        <w:rPr>
          <w:rFonts w:hint="eastAsia" w:ascii="宋体" w:hAnsi="宋体"/>
          <w:color w:val="auto"/>
          <w:sz w:val="24"/>
        </w:rPr>
        <w:t>室（常州市金</w:t>
      </w:r>
      <w:r>
        <w:rPr>
          <w:rFonts w:hint="eastAsia" w:ascii="宋体" w:hAnsi="宋体"/>
          <w:sz w:val="24"/>
        </w:rPr>
        <w:t>坛区金山路168号）</w:t>
      </w:r>
      <w:r>
        <w:rPr>
          <w:rFonts w:hint="eastAsia" w:ascii="宋体" w:hAnsi="宋体" w:cs="宋体"/>
          <w:sz w:val="24"/>
        </w:rPr>
        <w:t>。</w:t>
      </w:r>
    </w:p>
    <w:p>
      <w:pPr>
        <w:pStyle w:val="4"/>
        <w:spacing w:before="0" w:line="360" w:lineRule="auto"/>
        <w:jc w:val="left"/>
        <w:rPr>
          <w:rFonts w:ascii="宋体" w:hAnsi="宋体" w:eastAsia="宋体" w:cs="宋体"/>
          <w:sz w:val="24"/>
          <w:szCs w:val="24"/>
        </w:rPr>
      </w:pPr>
      <w:bookmarkStart w:id="21" w:name="_Toc28359007"/>
      <w:bookmarkStart w:id="22" w:name="_Toc35393625"/>
      <w:bookmarkStart w:id="23" w:name="_Toc28359084"/>
      <w:bookmarkStart w:id="24" w:name="_Toc35393794"/>
      <w:r>
        <w:rPr>
          <w:rFonts w:hint="eastAsia" w:ascii="宋体" w:hAnsi="宋体" w:eastAsia="宋体" w:cs="宋体"/>
          <w:sz w:val="24"/>
          <w:szCs w:val="24"/>
        </w:rPr>
        <w:t>五、</w:t>
      </w:r>
      <w:bookmarkEnd w:id="21"/>
      <w:bookmarkEnd w:id="22"/>
      <w:bookmarkEnd w:id="23"/>
      <w:bookmarkEnd w:id="24"/>
      <w:r>
        <w:rPr>
          <w:rFonts w:hint="eastAsia" w:ascii="宋体" w:hAnsi="宋体" w:eastAsia="宋体" w:cs="宋体"/>
          <w:sz w:val="24"/>
          <w:szCs w:val="24"/>
        </w:rPr>
        <w:t>公告期限</w:t>
      </w:r>
    </w:p>
    <w:p>
      <w:pPr>
        <w:spacing w:line="360" w:lineRule="auto"/>
        <w:ind w:firstLine="480" w:firstLineChars="200"/>
        <w:rPr>
          <w:rFonts w:ascii="宋体" w:hAnsi="宋体" w:cs="宋体"/>
          <w:kern w:val="0"/>
          <w:sz w:val="24"/>
        </w:rPr>
      </w:pPr>
      <w:r>
        <w:rPr>
          <w:rFonts w:hint="eastAsia" w:ascii="宋体" w:hAnsi="宋体" w:cs="宋体"/>
          <w:kern w:val="0"/>
          <w:sz w:val="24"/>
        </w:rPr>
        <w:t>自本公告发布之日起3个工作日。</w:t>
      </w:r>
    </w:p>
    <w:p>
      <w:pPr>
        <w:pStyle w:val="4"/>
        <w:spacing w:before="0" w:line="360" w:lineRule="auto"/>
        <w:jc w:val="left"/>
        <w:rPr>
          <w:rFonts w:ascii="宋体" w:hAnsi="宋体" w:eastAsia="宋体" w:cs="宋体"/>
          <w:sz w:val="24"/>
          <w:szCs w:val="24"/>
        </w:rPr>
      </w:pPr>
      <w:bookmarkStart w:id="25" w:name="_Toc35393795"/>
      <w:bookmarkStart w:id="26" w:name="_Toc35393626"/>
      <w:r>
        <w:rPr>
          <w:rFonts w:hint="eastAsia" w:ascii="宋体" w:hAnsi="宋体" w:eastAsia="宋体" w:cs="宋体"/>
          <w:sz w:val="24"/>
          <w:szCs w:val="24"/>
        </w:rPr>
        <w:t>六、其他补充事宜</w:t>
      </w:r>
      <w:bookmarkEnd w:id="25"/>
      <w:bookmarkEnd w:id="26"/>
      <w:r>
        <w:rPr>
          <w:rFonts w:hint="eastAsia" w:ascii="宋体" w:hAnsi="宋体" w:eastAsia="宋体" w:cs="宋体"/>
          <w:sz w:val="24"/>
          <w:szCs w:val="24"/>
        </w:rPr>
        <w:t xml:space="preserve"> </w:t>
      </w:r>
    </w:p>
    <w:p>
      <w:pPr>
        <w:spacing w:line="360" w:lineRule="auto"/>
        <w:ind w:firstLine="480" w:firstLineChars="200"/>
        <w:rPr>
          <w:rFonts w:ascii="宋体" w:hAnsi="宋体" w:cs="宋体"/>
          <w:color w:val="auto"/>
          <w:sz w:val="24"/>
        </w:rPr>
      </w:pPr>
      <w:r>
        <w:rPr>
          <w:rFonts w:hint="eastAsia" w:ascii="宋体" w:hAnsi="宋体" w:cs="宋体"/>
          <w:sz w:val="24"/>
        </w:rPr>
        <w:t>1.现场考察及标前答疑会信息：</w:t>
      </w:r>
    </w:p>
    <w:p>
      <w:pPr>
        <w:spacing w:line="360" w:lineRule="auto"/>
        <w:ind w:firstLine="480" w:firstLineChars="200"/>
        <w:rPr>
          <w:rFonts w:ascii="宋体" w:hAnsi="宋体" w:cs="宋体"/>
          <w:color w:val="auto"/>
          <w:sz w:val="24"/>
        </w:rPr>
      </w:pPr>
      <w:r>
        <w:rPr>
          <w:rFonts w:hint="eastAsia" w:ascii="宋体" w:hAnsi="宋体" w:cs="宋体"/>
          <w:color w:val="auto"/>
          <w:sz w:val="24"/>
          <w:lang w:eastAsia="zh-CN"/>
        </w:rPr>
        <w:t>（</w:t>
      </w:r>
      <w:r>
        <w:rPr>
          <w:rFonts w:hint="eastAsia" w:ascii="宋体" w:hAnsi="宋体" w:cs="宋体"/>
          <w:color w:val="auto"/>
          <w:sz w:val="24"/>
          <w:lang w:val="en-US" w:eastAsia="zh-CN"/>
        </w:rPr>
        <w:t>1</w:t>
      </w:r>
      <w:r>
        <w:rPr>
          <w:rFonts w:hint="eastAsia" w:ascii="宋体" w:hAnsi="宋体" w:cs="宋体"/>
          <w:color w:val="auto"/>
          <w:sz w:val="24"/>
          <w:lang w:eastAsia="zh-CN"/>
        </w:rPr>
        <w:t>）</w:t>
      </w:r>
      <w:r>
        <w:rPr>
          <w:rFonts w:hint="eastAsia" w:ascii="宋体" w:hAnsi="宋体" w:cs="宋体"/>
          <w:color w:val="auto"/>
          <w:sz w:val="24"/>
        </w:rPr>
        <w:t>本项目不召开标前答疑会，</w:t>
      </w:r>
      <w:r>
        <w:rPr>
          <w:rFonts w:hint="eastAsia" w:ascii="宋体" w:hAnsi="宋体" w:cs="宋体"/>
          <w:color w:val="auto"/>
          <w:sz w:val="24"/>
          <w:lang w:eastAsia="zh-CN"/>
        </w:rPr>
        <w:t>响应人</w:t>
      </w:r>
      <w:r>
        <w:rPr>
          <w:rFonts w:hint="eastAsia" w:ascii="宋体" w:hAnsi="宋体" w:cs="宋体"/>
          <w:color w:val="auto"/>
          <w:sz w:val="24"/>
        </w:rPr>
        <w:t>如对</w:t>
      </w:r>
      <w:r>
        <w:rPr>
          <w:rFonts w:hint="eastAsia" w:ascii="宋体" w:hAnsi="宋体" w:cs="宋体"/>
          <w:color w:val="auto"/>
          <w:sz w:val="24"/>
          <w:lang w:eastAsia="zh-CN"/>
        </w:rPr>
        <w:t>采购</w:t>
      </w:r>
      <w:r>
        <w:rPr>
          <w:rFonts w:hint="eastAsia" w:ascii="宋体" w:hAnsi="宋体" w:cs="宋体"/>
          <w:color w:val="auto"/>
          <w:sz w:val="24"/>
        </w:rPr>
        <w:t>文件有疑问，须在2022年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21</w:t>
      </w:r>
      <w:r>
        <w:rPr>
          <w:rFonts w:hint="eastAsia" w:ascii="宋体" w:hAnsi="宋体" w:cs="宋体"/>
          <w:color w:val="auto"/>
          <w:sz w:val="24"/>
        </w:rPr>
        <w:t>日17：00点前将电子档发送至电子邮箱853372260@qq.com，同时将书面文件加盖</w:t>
      </w:r>
      <w:r>
        <w:rPr>
          <w:rFonts w:hint="eastAsia" w:ascii="宋体" w:hAnsi="宋体" w:cs="宋体"/>
          <w:color w:val="auto"/>
          <w:sz w:val="24"/>
          <w:lang w:eastAsia="zh-CN"/>
        </w:rPr>
        <w:t>响</w:t>
      </w:r>
      <w:r>
        <w:rPr>
          <w:rFonts w:hint="eastAsia" w:ascii="宋体" w:hAnsi="宋体" w:cs="宋体"/>
          <w:sz w:val="24"/>
          <w:lang w:eastAsia="zh-CN"/>
        </w:rPr>
        <w:t>应人</w:t>
      </w:r>
      <w:r>
        <w:rPr>
          <w:rFonts w:hint="eastAsia" w:ascii="宋体" w:hAnsi="宋体" w:cs="宋体"/>
          <w:sz w:val="24"/>
        </w:rPr>
        <w:t>章送至采购人和采购代理联系人</w:t>
      </w:r>
      <w:r>
        <w:rPr>
          <w:rFonts w:hint="eastAsia" w:ascii="宋体" w:hAnsi="宋体" w:cs="宋体"/>
          <w:color w:val="auto"/>
          <w:sz w:val="24"/>
        </w:rPr>
        <w:t>处，逾期不予受理。（注：1.送质疑材料时须携带授权委托书等相关证明材料；2.质疑材料不接受邮寄）</w:t>
      </w:r>
    </w:p>
    <w:p>
      <w:pPr>
        <w:spacing w:line="360" w:lineRule="auto"/>
        <w:ind w:firstLine="480" w:firstLineChars="200"/>
        <w:rPr>
          <w:rFonts w:hint="eastAsia" w:ascii="宋体" w:hAnsi="宋体" w:cs="宋体"/>
          <w:sz w:val="24"/>
        </w:rPr>
      </w:pPr>
      <w:r>
        <w:rPr>
          <w:rFonts w:hint="eastAsia" w:ascii="宋体" w:hAnsi="宋体" w:cs="宋体"/>
          <w:color w:val="auto"/>
          <w:sz w:val="24"/>
        </w:rPr>
        <w:t>（2）答疑回复时间：202</w:t>
      </w:r>
      <w:r>
        <w:rPr>
          <w:rFonts w:hint="eastAsia" w:ascii="宋体" w:hAnsi="宋体" w:cs="宋体"/>
          <w:color w:val="auto"/>
          <w:sz w:val="24"/>
          <w:lang w:val="en-US" w:eastAsia="zh-CN"/>
        </w:rPr>
        <w:t>2</w:t>
      </w:r>
      <w:r>
        <w:rPr>
          <w:rFonts w:hint="eastAsia" w:ascii="宋体" w:hAnsi="宋体" w:cs="宋体"/>
          <w:color w:val="auto"/>
          <w:sz w:val="24"/>
        </w:rPr>
        <w:t>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22</w:t>
      </w:r>
      <w:r>
        <w:rPr>
          <w:rFonts w:hint="eastAsia" w:ascii="宋体" w:hAnsi="宋体" w:cs="宋体"/>
          <w:color w:val="auto"/>
          <w:sz w:val="24"/>
        </w:rPr>
        <w:t>日下午17：</w:t>
      </w:r>
      <w:r>
        <w:rPr>
          <w:rFonts w:hint="eastAsia" w:ascii="宋体" w:hAnsi="宋体" w:cs="宋体"/>
          <w:color w:val="auto"/>
          <w:sz w:val="24"/>
          <w:lang w:val="en-US" w:eastAsia="zh-CN"/>
        </w:rPr>
        <w:t>00</w:t>
      </w:r>
      <w:r>
        <w:rPr>
          <w:rFonts w:hint="eastAsia" w:ascii="宋体" w:hAnsi="宋体" w:cs="宋体"/>
          <w:color w:val="auto"/>
          <w:sz w:val="24"/>
        </w:rPr>
        <w:t>前，由采购代理单位统一回复。</w:t>
      </w:r>
      <w:r>
        <w:rPr>
          <w:rFonts w:hint="eastAsia" w:ascii="宋体" w:hAnsi="宋体" w:cs="宋体"/>
          <w:color w:val="auto"/>
          <w:sz w:val="24"/>
          <w:lang w:eastAsia="zh-CN"/>
        </w:rPr>
        <w:t>响应人</w:t>
      </w:r>
      <w:r>
        <w:rPr>
          <w:rFonts w:hint="eastAsia" w:ascii="宋体" w:hAnsi="宋体" w:cs="宋体"/>
          <w:color w:val="auto"/>
          <w:sz w:val="24"/>
        </w:rPr>
        <w:t>由于对</w:t>
      </w:r>
      <w:r>
        <w:rPr>
          <w:rFonts w:hint="eastAsia" w:ascii="宋体" w:hAnsi="宋体" w:cs="宋体"/>
          <w:color w:val="auto"/>
          <w:sz w:val="24"/>
          <w:lang w:eastAsia="zh-CN"/>
        </w:rPr>
        <w:t>谈判文件</w:t>
      </w:r>
      <w:r>
        <w:rPr>
          <w:rFonts w:hint="eastAsia" w:ascii="宋体" w:hAnsi="宋体" w:cs="宋体"/>
          <w:color w:val="auto"/>
          <w:sz w:val="24"/>
        </w:rPr>
        <w:t>的任何推论和误解以及采购人对有关问题的</w:t>
      </w:r>
      <w:r>
        <w:rPr>
          <w:rFonts w:hint="eastAsia" w:ascii="宋体" w:hAnsi="宋体" w:cs="宋体"/>
          <w:sz w:val="24"/>
        </w:rPr>
        <w:t>口头解释所造成的后果，均由</w:t>
      </w:r>
      <w:r>
        <w:rPr>
          <w:rFonts w:hint="eastAsia" w:ascii="宋体" w:hAnsi="宋体" w:cs="宋体"/>
          <w:sz w:val="24"/>
          <w:lang w:eastAsia="zh-CN"/>
        </w:rPr>
        <w:t>响应人</w:t>
      </w:r>
      <w:r>
        <w:rPr>
          <w:rFonts w:hint="eastAsia" w:ascii="宋体" w:hAnsi="宋体" w:cs="宋体"/>
          <w:sz w:val="24"/>
        </w:rPr>
        <w:t>自负。采购人有权对已发出的</w:t>
      </w:r>
      <w:r>
        <w:rPr>
          <w:rFonts w:hint="eastAsia" w:ascii="宋体" w:hAnsi="宋体" w:cs="宋体"/>
          <w:sz w:val="24"/>
          <w:lang w:eastAsia="zh-CN"/>
        </w:rPr>
        <w:t>谈判文件</w:t>
      </w:r>
      <w:r>
        <w:rPr>
          <w:rFonts w:hint="eastAsia" w:ascii="宋体" w:hAnsi="宋体" w:cs="宋体"/>
          <w:sz w:val="24"/>
        </w:rPr>
        <w:t>进行必要的澄清或修改，并通知所有</w:t>
      </w:r>
      <w:r>
        <w:rPr>
          <w:rFonts w:hint="eastAsia" w:ascii="宋体" w:hAnsi="宋体" w:cs="宋体"/>
          <w:sz w:val="24"/>
          <w:lang w:eastAsia="zh-CN"/>
        </w:rPr>
        <w:t>响应人</w:t>
      </w:r>
      <w:r>
        <w:rPr>
          <w:rFonts w:hint="eastAsia" w:ascii="宋体" w:hAnsi="宋体" w:cs="宋体"/>
          <w:sz w:val="24"/>
        </w:rPr>
        <w:t>。采购人可视具体情况，延长投标截止时间和开标时间，并将此变更通知所有</w:t>
      </w:r>
      <w:r>
        <w:rPr>
          <w:rFonts w:hint="eastAsia" w:ascii="宋体" w:hAnsi="宋体" w:cs="宋体"/>
          <w:sz w:val="24"/>
          <w:lang w:eastAsia="zh-CN"/>
        </w:rPr>
        <w:t>谈判文件</w:t>
      </w:r>
      <w:r>
        <w:rPr>
          <w:rFonts w:hint="eastAsia" w:ascii="宋体" w:hAnsi="宋体" w:cs="宋体"/>
          <w:sz w:val="24"/>
        </w:rPr>
        <w:t>收受人；</w:t>
      </w:r>
    </w:p>
    <w:p>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响应人</w:t>
      </w:r>
      <w:r>
        <w:rPr>
          <w:rFonts w:hint="eastAsia" w:ascii="宋体" w:hAnsi="宋体" w:cs="宋体"/>
          <w:sz w:val="24"/>
        </w:rPr>
        <w:t>自行组织踏勘现场，由此产生的费用由</w:t>
      </w:r>
      <w:r>
        <w:rPr>
          <w:rFonts w:hint="eastAsia" w:ascii="宋体" w:hAnsi="宋体" w:cs="宋体"/>
          <w:sz w:val="24"/>
          <w:lang w:eastAsia="zh-CN"/>
        </w:rPr>
        <w:t>响应人</w:t>
      </w:r>
      <w:r>
        <w:rPr>
          <w:rFonts w:hint="eastAsia" w:ascii="宋体" w:hAnsi="宋体" w:cs="宋体"/>
          <w:sz w:val="24"/>
        </w:rPr>
        <w:t>自理。</w:t>
      </w:r>
    </w:p>
    <w:p>
      <w:pPr>
        <w:spacing w:line="360" w:lineRule="auto"/>
        <w:ind w:firstLine="480" w:firstLineChars="200"/>
        <w:rPr>
          <w:rFonts w:hint="eastAsia" w:ascii="宋体" w:hAnsi="宋体" w:cs="宋体"/>
          <w:sz w:val="24"/>
        </w:rPr>
      </w:pPr>
      <w:r>
        <w:rPr>
          <w:rFonts w:hint="eastAsia" w:ascii="宋体" w:hAnsi="宋体" w:cs="宋体"/>
          <w:sz w:val="24"/>
        </w:rPr>
        <w:t>（4）质疑函应按照财政部《政府采购供应商质疑函范本》格式和要求制作，网址：http://www.mof.gov.cn/gp/xxgkml/gks/201802/t20180201_2804587.html（未按照相关格式和要求制作的质疑函将不予受理。）</w:t>
      </w:r>
    </w:p>
    <w:p>
      <w:pPr>
        <w:spacing w:line="360" w:lineRule="auto"/>
        <w:ind w:firstLine="480" w:firstLineChars="200"/>
        <w:rPr>
          <w:rFonts w:ascii="宋体" w:hAnsi="宋体" w:cs="宋体"/>
          <w:sz w:val="24"/>
          <w:lang w:val="zh-TW"/>
        </w:rPr>
      </w:pPr>
      <w:r>
        <w:rPr>
          <w:rFonts w:hint="eastAsia" w:ascii="宋体" w:hAnsi="宋体" w:cs="宋体"/>
          <w:sz w:val="24"/>
        </w:rPr>
        <w:t>2</w:t>
      </w:r>
      <w:r>
        <w:rPr>
          <w:rFonts w:hint="eastAsia" w:ascii="宋体" w:hAnsi="宋体" w:cs="宋体"/>
          <w:sz w:val="24"/>
          <w:lang w:val="zh-TW"/>
        </w:rPr>
        <w:t>.关于常州市中小企业政府采购信用融资：</w:t>
      </w:r>
    </w:p>
    <w:p>
      <w:pPr>
        <w:widowControl/>
        <w:spacing w:line="360" w:lineRule="auto"/>
        <w:ind w:firstLine="480" w:firstLineChars="200"/>
        <w:jc w:val="left"/>
        <w:rPr>
          <w:rFonts w:ascii="宋体" w:hAnsi="宋体" w:cs="宋体"/>
          <w:sz w:val="24"/>
          <w:lang w:val="zh-TW"/>
        </w:rPr>
      </w:pPr>
      <w:r>
        <w:rPr>
          <w:rFonts w:hint="eastAsia" w:ascii="宋体" w:hAnsi="宋体" w:cs="宋体"/>
          <w:sz w:val="24"/>
          <w:lang w:val="zh-TW"/>
        </w:rPr>
        <w:t>根据《常州市财政局 中国人民银行常州市中心支行关于进一步推进政府采购信用融资工作的通知》（常财购〔2021〕13号）等有关文件精神，我市实行政府采购信用融资，将信用作为政策工具引入政府采购领域，金融机构根据政府采购项目中标（成交）通知书或中标（成交）合同，为中标（成交）中小企业供应商提供相应额度贷款的融资模式。申请条件及操作流程等事项详见该文件相关内容或者常州市政府采购网--政采融资平台栏目。</w:t>
      </w:r>
    </w:p>
    <w:p>
      <w:pPr>
        <w:widowControl/>
        <w:spacing w:line="360" w:lineRule="auto"/>
        <w:ind w:firstLine="480" w:firstLineChars="200"/>
        <w:jc w:val="left"/>
        <w:rPr>
          <w:rFonts w:ascii="宋体" w:hAnsi="宋体" w:cs="宋体"/>
          <w:sz w:val="24"/>
        </w:rPr>
      </w:pPr>
      <w:r>
        <w:rPr>
          <w:rFonts w:hint="eastAsia" w:ascii="宋体" w:hAnsi="宋体" w:cs="宋体"/>
          <w:sz w:val="24"/>
        </w:rPr>
        <w:t>3.疫情防控措施 </w:t>
      </w:r>
    </w:p>
    <w:p>
      <w:pPr>
        <w:widowControl/>
        <w:spacing w:line="360" w:lineRule="auto"/>
        <w:ind w:firstLine="480" w:firstLineChars="200"/>
        <w:jc w:val="left"/>
        <w:rPr>
          <w:rFonts w:ascii="宋体" w:hAnsi="宋体" w:cs="宋体"/>
          <w:sz w:val="24"/>
        </w:rPr>
      </w:pPr>
      <w:r>
        <w:rPr>
          <w:rFonts w:hint="eastAsia" w:ascii="宋体" w:hAnsi="宋体" w:cs="宋体"/>
          <w:sz w:val="24"/>
        </w:rPr>
        <w:t>3.1所有参与开评标活动的人员应佩戴口罩，做好手部卫生消毒，向场地管理人员出示有效身份证及“健康码”，配合现场工作人员做好体温检测、扫码核验、信息登记等工作。 </w:t>
      </w:r>
      <w:r>
        <w:rPr>
          <w:rFonts w:hint="eastAsia" w:ascii="宋体" w:hAnsi="宋体" w:cs="宋体"/>
          <w:sz w:val="24"/>
        </w:rPr>
        <w:br w:type="textWrapping"/>
      </w:r>
      <w:r>
        <w:rPr>
          <w:rFonts w:hint="eastAsia" w:ascii="宋体" w:hAnsi="宋体" w:cs="宋体"/>
          <w:sz w:val="24"/>
        </w:rPr>
        <w:t xml:space="preserve">    3.2除响应人法定代表人或其授权代表，其他人员原则上不得进入开评标场所。请保持安全距离，分散等候，不得扎堆聚集，事完即走。 </w:t>
      </w:r>
      <w:r>
        <w:rPr>
          <w:rFonts w:hint="eastAsia" w:ascii="宋体" w:hAnsi="宋体" w:cs="宋体"/>
          <w:sz w:val="24"/>
        </w:rPr>
        <w:br w:type="textWrapping"/>
      </w:r>
      <w:r>
        <w:rPr>
          <w:rFonts w:hint="eastAsia" w:ascii="宋体" w:hAnsi="宋体" w:cs="宋体"/>
          <w:sz w:val="24"/>
        </w:rPr>
        <w:t xml:space="preserve">    3.3对于参与开评标活动的响应人，应如实填写《疫情期间参与政府采购活动开评标人员健康信息登记表》相关内容并加盖单位公章。向场地管理人员提交《疫情期间参与政府采购活动开评标人员健康信息登记表》。 </w:t>
      </w:r>
      <w:r>
        <w:rPr>
          <w:rFonts w:hint="eastAsia" w:ascii="宋体" w:hAnsi="宋体" w:cs="宋体"/>
          <w:sz w:val="24"/>
        </w:rPr>
        <w:br w:type="textWrapping"/>
      </w:r>
      <w:r>
        <w:rPr>
          <w:rFonts w:hint="eastAsia" w:ascii="宋体" w:hAnsi="宋体" w:cs="宋体"/>
          <w:sz w:val="24"/>
        </w:rPr>
        <w:t xml:space="preserve">    3.4代理机构保持会议室要每隔两小时通一次风，严格执行疫情防控要求，担负起开评标现场疫情防控责任。 </w:t>
      </w:r>
    </w:p>
    <w:p>
      <w:pPr>
        <w:widowControl/>
        <w:spacing w:line="360" w:lineRule="auto"/>
        <w:ind w:firstLine="480" w:firstLineChars="200"/>
        <w:jc w:val="left"/>
        <w:rPr>
          <w:rFonts w:ascii="宋体" w:hAnsi="宋体" w:cs="宋体"/>
          <w:sz w:val="24"/>
        </w:rPr>
      </w:pPr>
      <w:r>
        <w:rPr>
          <w:rFonts w:hint="eastAsia" w:ascii="宋体" w:hAnsi="宋体" w:cs="宋体"/>
          <w:sz w:val="24"/>
        </w:rPr>
        <w:t>3.5采购活动进行中遇到疫情相关特殊情况，将立即报告同级新型冠状病毒感染的肺炎疫情防控应急指挥部和同级财政各部门。</w:t>
      </w:r>
    </w:p>
    <w:p>
      <w:pPr>
        <w:pStyle w:val="4"/>
        <w:spacing w:before="0" w:line="360" w:lineRule="auto"/>
        <w:jc w:val="left"/>
        <w:rPr>
          <w:rFonts w:ascii="宋体" w:hAnsi="宋体" w:eastAsia="宋体" w:cs="宋体"/>
          <w:sz w:val="24"/>
          <w:szCs w:val="24"/>
        </w:rPr>
      </w:pPr>
      <w:bookmarkStart w:id="27" w:name="_Toc35393796"/>
      <w:bookmarkStart w:id="28" w:name="_Toc28359085"/>
      <w:bookmarkStart w:id="29" w:name="_Toc35393627"/>
      <w:bookmarkStart w:id="30" w:name="_Toc28359008"/>
      <w:r>
        <w:rPr>
          <w:rFonts w:hint="eastAsia" w:ascii="宋体" w:hAnsi="宋体" w:eastAsia="宋体" w:cs="宋体"/>
          <w:sz w:val="24"/>
          <w:szCs w:val="24"/>
        </w:rPr>
        <w:t>七、对本次采购提出询问，请按以下方式联系。</w:t>
      </w:r>
      <w:bookmarkEnd w:id="27"/>
      <w:bookmarkEnd w:id="28"/>
      <w:bookmarkEnd w:id="29"/>
      <w:bookmarkEnd w:id="30"/>
    </w:p>
    <w:p>
      <w:pPr>
        <w:widowControl/>
        <w:spacing w:line="360" w:lineRule="auto"/>
        <w:jc w:val="left"/>
        <w:rPr>
          <w:rFonts w:ascii="宋体" w:hAnsi="宋体" w:cs="宋体"/>
          <w:b/>
          <w:sz w:val="24"/>
        </w:rPr>
      </w:pPr>
      <w:r>
        <w:rPr>
          <w:rFonts w:hint="eastAsia" w:ascii="宋体" w:hAnsi="宋体" w:cs="宋体"/>
          <w:sz w:val="24"/>
        </w:rPr>
        <w:t>　　　</w:t>
      </w:r>
      <w:r>
        <w:rPr>
          <w:rFonts w:hint="eastAsia" w:ascii="宋体" w:hAnsi="宋体" w:cs="宋体"/>
          <w:b/>
          <w:sz w:val="24"/>
        </w:rPr>
        <w:t>1.采购人信息</w:t>
      </w:r>
    </w:p>
    <w:p>
      <w:pPr>
        <w:spacing w:line="360" w:lineRule="auto"/>
        <w:ind w:left="1079" w:leftChars="371" w:hanging="300" w:hangingChars="125"/>
        <w:jc w:val="left"/>
        <w:rPr>
          <w:rFonts w:hint="eastAsia" w:ascii="宋体" w:hAnsi="宋体" w:eastAsia="宋体" w:cs="宋体"/>
          <w:sz w:val="24"/>
          <w:lang w:eastAsia="zh-CN"/>
        </w:rPr>
      </w:pPr>
      <w:bookmarkStart w:id="31" w:name="_Toc28359009"/>
      <w:bookmarkStart w:id="32" w:name="_Toc28359086"/>
      <w:r>
        <w:rPr>
          <w:rFonts w:hint="eastAsia" w:ascii="宋体" w:hAnsi="宋体" w:cs="宋体"/>
          <w:sz w:val="24"/>
        </w:rPr>
        <w:t>名    称：</w:t>
      </w:r>
      <w:r>
        <w:rPr>
          <w:rFonts w:hint="eastAsia" w:ascii="宋体" w:hAnsi="宋体" w:cs="宋体"/>
          <w:sz w:val="24"/>
          <w:lang w:eastAsia="zh-CN"/>
        </w:rPr>
        <w:t>常州市金坛区金城镇人民政府</w:t>
      </w:r>
    </w:p>
    <w:p>
      <w:pPr>
        <w:spacing w:line="360" w:lineRule="auto"/>
        <w:ind w:left="1079" w:leftChars="371" w:hanging="300" w:hangingChars="125"/>
        <w:jc w:val="left"/>
        <w:rPr>
          <w:rFonts w:hint="eastAsia" w:ascii="宋体" w:hAnsi="宋体" w:eastAsia="宋体" w:cs="宋体"/>
          <w:sz w:val="24"/>
          <w:lang w:eastAsia="zh-CN"/>
        </w:rPr>
      </w:pPr>
      <w:r>
        <w:rPr>
          <w:rFonts w:hint="eastAsia" w:ascii="宋体" w:hAnsi="宋体" w:cs="宋体"/>
          <w:sz w:val="24"/>
        </w:rPr>
        <w:t>地    址：</w:t>
      </w:r>
      <w:r>
        <w:rPr>
          <w:rFonts w:hint="eastAsia" w:ascii="宋体" w:hAnsi="宋体" w:cs="宋体"/>
          <w:sz w:val="24"/>
          <w:lang w:eastAsia="zh-CN"/>
        </w:rPr>
        <w:t>常州市金坛区江南路99号</w:t>
      </w:r>
    </w:p>
    <w:p>
      <w:pPr>
        <w:spacing w:line="360" w:lineRule="auto"/>
        <w:ind w:left="1079" w:leftChars="371" w:hanging="300" w:hangingChars="125"/>
        <w:jc w:val="left"/>
        <w:rPr>
          <w:rFonts w:hint="eastAsia" w:ascii="宋体" w:hAnsi="宋体" w:eastAsia="宋体" w:cs="宋体"/>
          <w:sz w:val="24"/>
          <w:u w:val="single"/>
          <w:lang w:eastAsia="zh-CN"/>
        </w:rPr>
      </w:pPr>
      <w:r>
        <w:rPr>
          <w:rFonts w:hint="eastAsia" w:ascii="宋体" w:hAnsi="宋体" w:cs="宋体"/>
          <w:sz w:val="24"/>
        </w:rPr>
        <w:t>联系方式：</w:t>
      </w:r>
      <w:r>
        <w:rPr>
          <w:rFonts w:hint="eastAsia" w:ascii="宋体" w:hAnsi="宋体" w:cs="宋体"/>
          <w:sz w:val="24"/>
          <w:lang w:eastAsia="zh-CN"/>
        </w:rPr>
        <w:t>13861121516</w:t>
      </w:r>
    </w:p>
    <w:p>
      <w:pPr>
        <w:spacing w:line="360" w:lineRule="auto"/>
        <w:ind w:left="1080" w:leftChars="371" w:hanging="301" w:hangingChars="125"/>
        <w:jc w:val="left"/>
        <w:rPr>
          <w:rFonts w:ascii="宋体" w:hAnsi="宋体" w:cs="宋体"/>
          <w:b/>
          <w:sz w:val="24"/>
        </w:rPr>
      </w:pPr>
      <w:r>
        <w:rPr>
          <w:rFonts w:hint="eastAsia" w:ascii="宋体" w:hAnsi="宋体" w:cs="宋体"/>
          <w:b/>
          <w:sz w:val="24"/>
        </w:rPr>
        <w:t>2.采购代理机构信息</w:t>
      </w:r>
      <w:bookmarkEnd w:id="31"/>
      <w:bookmarkEnd w:id="32"/>
    </w:p>
    <w:p>
      <w:pPr>
        <w:spacing w:line="360" w:lineRule="auto"/>
        <w:ind w:left="1079" w:leftChars="371" w:hanging="300" w:hangingChars="125"/>
        <w:jc w:val="left"/>
        <w:rPr>
          <w:rFonts w:ascii="宋体" w:hAnsi="宋体" w:cs="宋体"/>
          <w:sz w:val="24"/>
        </w:rPr>
      </w:pPr>
      <w:bookmarkStart w:id="33" w:name="_Toc28359087"/>
      <w:bookmarkStart w:id="34" w:name="_Toc28359010"/>
      <w:r>
        <w:rPr>
          <w:rFonts w:hint="eastAsia" w:ascii="宋体" w:hAnsi="宋体" w:cs="宋体"/>
          <w:sz w:val="24"/>
        </w:rPr>
        <w:t>名    称：</w:t>
      </w:r>
      <w:r>
        <w:rPr>
          <w:rFonts w:hint="eastAsia" w:ascii="宋体" w:hAnsi="宋体" w:cs="宋体"/>
          <w:sz w:val="24"/>
          <w:lang w:eastAsia="zh-CN"/>
        </w:rPr>
        <w:t>常州名源全过程工程咨询有限公司</w:t>
      </w:r>
      <w:r>
        <w:rPr>
          <w:rFonts w:hint="eastAsia" w:ascii="宋体" w:hAnsi="宋体" w:cs="宋体"/>
          <w:sz w:val="24"/>
        </w:rPr>
        <w:t xml:space="preserve">   </w:t>
      </w:r>
    </w:p>
    <w:p>
      <w:pPr>
        <w:spacing w:line="360" w:lineRule="auto"/>
        <w:ind w:left="1079" w:leftChars="371" w:hanging="300" w:hangingChars="125"/>
        <w:jc w:val="left"/>
        <w:rPr>
          <w:rFonts w:hint="eastAsia" w:ascii="宋体" w:hAnsi="宋体" w:eastAsia="宋体" w:cs="宋体"/>
          <w:sz w:val="24"/>
          <w:lang w:eastAsia="zh-CN"/>
        </w:rPr>
      </w:pPr>
      <w:r>
        <w:rPr>
          <w:rFonts w:hint="eastAsia" w:ascii="宋体" w:hAnsi="宋体" w:cs="宋体"/>
          <w:sz w:val="24"/>
        </w:rPr>
        <w:t>地    址：</w:t>
      </w:r>
      <w:r>
        <w:rPr>
          <w:rFonts w:hint="eastAsia" w:ascii="宋体" w:hAnsi="宋体" w:cs="宋体"/>
          <w:sz w:val="24"/>
          <w:lang w:eastAsia="zh-CN"/>
        </w:rPr>
        <w:t>常州市金坛区金沙科技金融中心B幢1202</w:t>
      </w:r>
    </w:p>
    <w:p>
      <w:pPr>
        <w:spacing w:line="360" w:lineRule="auto"/>
        <w:ind w:left="1079" w:leftChars="371" w:hanging="300" w:hangingChars="125"/>
        <w:jc w:val="left"/>
        <w:rPr>
          <w:rFonts w:hint="eastAsia" w:ascii="宋体" w:hAnsi="宋体" w:eastAsia="宋体" w:cs="宋体"/>
          <w:sz w:val="24"/>
          <w:u w:val="single"/>
          <w:lang w:eastAsia="zh-CN"/>
        </w:rPr>
      </w:pPr>
      <w:r>
        <w:rPr>
          <w:rFonts w:hint="eastAsia" w:ascii="宋体" w:hAnsi="宋体" w:cs="宋体"/>
          <w:sz w:val="24"/>
        </w:rPr>
        <w:t>联系方式：</w:t>
      </w:r>
      <w:r>
        <w:rPr>
          <w:rFonts w:hint="eastAsia" w:ascii="宋体" w:hAnsi="宋体" w:cs="宋体"/>
          <w:sz w:val="24"/>
          <w:lang w:eastAsia="zh-CN"/>
        </w:rPr>
        <w:t>17805082350</w:t>
      </w:r>
    </w:p>
    <w:p>
      <w:pPr>
        <w:spacing w:line="360" w:lineRule="auto"/>
        <w:ind w:firstLine="723" w:firstLineChars="300"/>
        <w:rPr>
          <w:rFonts w:ascii="宋体" w:hAnsi="宋体" w:cs="宋体"/>
          <w:b/>
          <w:sz w:val="24"/>
          <w:u w:val="single"/>
        </w:rPr>
      </w:pPr>
      <w:r>
        <w:rPr>
          <w:rFonts w:hint="eastAsia" w:ascii="宋体" w:hAnsi="宋体" w:cs="宋体"/>
          <w:b/>
          <w:sz w:val="24"/>
        </w:rPr>
        <w:t>3.项目联系方式</w:t>
      </w:r>
      <w:bookmarkEnd w:id="33"/>
      <w:bookmarkEnd w:id="34"/>
    </w:p>
    <w:p>
      <w:pPr>
        <w:pStyle w:val="24"/>
        <w:spacing w:line="360" w:lineRule="auto"/>
        <w:ind w:firstLine="720" w:firstLineChars="300"/>
        <w:rPr>
          <w:rFonts w:hint="eastAsia" w:hAnsi="宋体" w:eastAsia="宋体" w:cs="宋体"/>
          <w:sz w:val="24"/>
          <w:szCs w:val="24"/>
          <w:lang w:eastAsia="zh-CN"/>
        </w:rPr>
      </w:pPr>
      <w:r>
        <w:rPr>
          <w:rFonts w:hAnsi="宋体" w:cs="宋体"/>
          <w:sz w:val="24"/>
          <w:szCs w:val="24"/>
        </w:rPr>
        <w:t>项目联系人：</w:t>
      </w:r>
      <w:r>
        <w:rPr>
          <w:rFonts w:hint="eastAsia" w:hAnsi="宋体"/>
          <w:sz w:val="24"/>
          <w:lang w:eastAsia="zh-CN"/>
        </w:rPr>
        <w:t>袁女士</w:t>
      </w:r>
    </w:p>
    <w:p>
      <w:pPr>
        <w:pStyle w:val="24"/>
        <w:spacing w:line="360" w:lineRule="auto"/>
        <w:ind w:firstLine="720" w:firstLineChars="300"/>
        <w:rPr>
          <w:rFonts w:hint="eastAsia" w:hAnsi="宋体" w:eastAsia="宋体" w:cs="宋体"/>
          <w:sz w:val="24"/>
          <w:szCs w:val="24"/>
          <w:lang w:eastAsia="zh-CN"/>
        </w:rPr>
      </w:pPr>
      <w:r>
        <w:rPr>
          <w:rFonts w:hAnsi="宋体" w:cs="宋体"/>
          <w:sz w:val="24"/>
          <w:szCs w:val="24"/>
        </w:rPr>
        <w:t>电      话：</w:t>
      </w:r>
      <w:r>
        <w:rPr>
          <w:rFonts w:hint="eastAsia" w:hAnsi="宋体"/>
          <w:sz w:val="24"/>
          <w:lang w:eastAsia="zh-CN"/>
        </w:rPr>
        <w:t>17805082350</w:t>
      </w:r>
    </w:p>
    <w:p>
      <w:pPr>
        <w:spacing w:line="360" w:lineRule="auto"/>
        <w:ind w:firstLine="5880" w:firstLineChars="2450"/>
        <w:jc w:val="right"/>
        <w:rPr>
          <w:sz w:val="24"/>
        </w:rPr>
      </w:pPr>
    </w:p>
    <w:p>
      <w:pPr>
        <w:ind w:right="482"/>
        <w:jc w:val="center"/>
        <w:outlineLvl w:val="0"/>
        <w:rPr>
          <w:rFonts w:ascii="宋体" w:hAnsi="宋体" w:cs="宋体"/>
          <w:b/>
          <w:color w:val="000000"/>
          <w:kern w:val="0"/>
          <w:sz w:val="28"/>
          <w:szCs w:val="28"/>
          <w:shd w:val="clear" w:color="auto" w:fill="FFFFFF"/>
        </w:rPr>
      </w:pPr>
      <w:r>
        <w:rPr>
          <w:sz w:val="24"/>
        </w:rPr>
        <w:br w:type="page"/>
      </w:r>
      <w:r>
        <w:rPr>
          <w:rFonts w:hint="eastAsia" w:ascii="宋体" w:hAnsi="宋体" w:cs="宋体"/>
          <w:b/>
          <w:color w:val="000000"/>
          <w:kern w:val="0"/>
          <w:sz w:val="28"/>
          <w:szCs w:val="28"/>
          <w:shd w:val="clear" w:color="auto" w:fill="FFFFFF"/>
        </w:rPr>
        <w:t>《疫情期间参与政府采购活动开评标人员健康信息登记表》</w:t>
      </w:r>
    </w:p>
    <w:tbl>
      <w:tblPr>
        <w:tblStyle w:val="43"/>
        <w:tblW w:w="9593"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1853"/>
        <w:gridCol w:w="2047"/>
        <w:gridCol w:w="540"/>
        <w:gridCol w:w="946"/>
        <w:gridCol w:w="504"/>
        <w:gridCol w:w="370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single" w:color="auto" w:sz="8" w:space="0"/>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姓名</w:t>
            </w:r>
          </w:p>
        </w:tc>
        <w:tc>
          <w:tcPr>
            <w:tcW w:w="2047" w:type="dxa"/>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c>
          <w:tcPr>
            <w:tcW w:w="1486"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身份证号码</w:t>
            </w:r>
          </w:p>
        </w:tc>
        <w:tc>
          <w:tcPr>
            <w:tcW w:w="4207"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单位名称</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单位地址</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个人住址</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单位电话</w:t>
            </w:r>
          </w:p>
        </w:tc>
        <w:tc>
          <w:tcPr>
            <w:tcW w:w="2587"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c>
          <w:tcPr>
            <w:tcW w:w="1450"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个人手机</w:t>
            </w:r>
          </w:p>
        </w:tc>
        <w:tc>
          <w:tcPr>
            <w:tcW w:w="3703" w:type="dxa"/>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84" w:hRule="atLeas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人员身份</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rPr>
                <w:rFonts w:ascii="宋体" w:hAnsi="宋体" w:cs="宋体"/>
                <w:color w:val="333333"/>
                <w:sz w:val="24"/>
              </w:rPr>
            </w:pPr>
            <w:r>
              <w:rPr>
                <w:rFonts w:ascii="宋体" w:hAnsi="宋体" w:cs="宋体"/>
                <w:color w:val="333333"/>
                <w:sz w:val="24"/>
              </w:rPr>
              <w:t>□</w:t>
            </w:r>
            <w:r>
              <w:rPr>
                <w:rFonts w:hint="eastAsia" w:ascii="宋体" w:hAnsi="宋体" w:cs="宋体"/>
                <w:color w:val="333333"/>
                <w:sz w:val="24"/>
              </w:rPr>
              <w:t>招标（采购）人</w:t>
            </w:r>
            <w:r>
              <w:rPr>
                <w:rFonts w:ascii="宋体" w:hAnsi="宋体" w:cs="宋体"/>
                <w:color w:val="333333"/>
                <w:sz w:val="24"/>
              </w:rPr>
              <w:t>代表  □</w:t>
            </w:r>
            <w:r>
              <w:rPr>
                <w:rFonts w:hint="eastAsia" w:ascii="宋体" w:hAnsi="宋体" w:cs="宋体"/>
                <w:color w:val="333333"/>
                <w:sz w:val="24"/>
              </w:rPr>
              <w:t xml:space="preserve">招标代理  </w:t>
            </w:r>
            <w:r>
              <w:rPr>
                <w:rFonts w:ascii="宋体" w:hAnsi="宋体" w:cs="宋体"/>
                <w:color w:val="333333"/>
                <w:sz w:val="24"/>
              </w:rPr>
              <w:t>□响应人代表  □评标专家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ind w:firstLine="240"/>
              <w:rPr>
                <w:rFonts w:ascii="宋体" w:hAnsi="宋体" w:cs="宋体"/>
                <w:color w:val="333333"/>
                <w:sz w:val="24"/>
              </w:rPr>
            </w:pPr>
            <w:r>
              <w:rPr>
                <w:rFonts w:ascii="宋体" w:hAnsi="宋体" w:cs="宋体"/>
                <w:color w:val="333333"/>
                <w:sz w:val="24"/>
              </w:rPr>
              <w:t>参加： □ 开标 □ 评标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项目名称</w:t>
            </w:r>
          </w:p>
        </w:tc>
        <w:tc>
          <w:tcPr>
            <w:tcW w:w="7740" w:type="dxa"/>
            <w:gridSpan w:val="5"/>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b/>
                <w:bCs/>
                <w:color w:val="333333"/>
                <w:sz w:val="24"/>
              </w:rPr>
              <w:t>个人健康情况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ascii="宋体" w:hAnsi="宋体" w:cs="宋体"/>
                <w:color w:val="333333"/>
                <w:sz w:val="24"/>
              </w:rPr>
            </w:pPr>
            <w:r>
              <w:rPr>
                <w:rFonts w:ascii="宋体" w:hAnsi="宋体" w:cs="宋体"/>
                <w:color w:val="333333"/>
                <w:sz w:val="24"/>
              </w:rPr>
              <w:t>有无发热、乏力、干咳、气促情况 □有 □无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27"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line="240" w:lineRule="exact"/>
              <w:jc w:val="center"/>
              <w:rPr>
                <w:rFonts w:ascii="宋体" w:hAnsi="宋体" w:cs="宋体"/>
                <w:color w:val="333333"/>
                <w:sz w:val="24"/>
              </w:rPr>
            </w:pPr>
            <w:r>
              <w:rPr>
                <w:rFonts w:ascii="宋体" w:hAnsi="宋体" w:cs="宋体"/>
                <w:color w:val="333333"/>
                <w:sz w:val="24"/>
              </w:rPr>
              <w:t>近14天内是否来自（或途径）疫情重点地区和高风险地区？</w:t>
            </w:r>
          </w:p>
          <w:p>
            <w:pPr>
              <w:spacing w:line="240" w:lineRule="exact"/>
              <w:jc w:val="center"/>
              <w:rPr>
                <w:rFonts w:ascii="宋体" w:hAnsi="宋体" w:cs="宋体"/>
                <w:color w:val="333333"/>
                <w:sz w:val="24"/>
              </w:rPr>
            </w:pPr>
            <w:r>
              <w:rPr>
                <w:rFonts w:ascii="宋体" w:hAnsi="宋体" w:cs="宋体"/>
                <w:color w:val="333333"/>
                <w:sz w:val="24"/>
              </w:rPr>
              <w:t>□否     □是 ，到达时间为：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006"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line="240" w:lineRule="exact"/>
              <w:jc w:val="center"/>
              <w:rPr>
                <w:rFonts w:ascii="宋体" w:hAnsi="宋体" w:cs="宋体"/>
                <w:color w:val="333333"/>
                <w:sz w:val="24"/>
              </w:rPr>
            </w:pPr>
            <w:r>
              <w:rPr>
                <w:rFonts w:ascii="宋体" w:hAnsi="宋体" w:cs="宋体"/>
                <w:color w:val="333333"/>
                <w:sz w:val="24"/>
              </w:rPr>
              <w:t>近14天内是否有与来自疫情重点地区和高风险地区的人员接触情况？</w:t>
            </w:r>
          </w:p>
          <w:p>
            <w:pPr>
              <w:widowControl/>
              <w:spacing w:before="100" w:beforeAutospacing="1" w:after="100" w:afterAutospacing="1" w:line="240" w:lineRule="exact"/>
              <w:jc w:val="center"/>
              <w:rPr>
                <w:rFonts w:ascii="宋体" w:hAnsi="宋体" w:cs="宋体"/>
                <w:color w:val="333333"/>
                <w:sz w:val="24"/>
              </w:rPr>
            </w:pPr>
            <w:r>
              <w:rPr>
                <w:rFonts w:ascii="宋体" w:hAnsi="宋体" w:cs="宋体"/>
                <w:color w:val="333333"/>
                <w:sz w:val="24"/>
              </w:rPr>
              <w:t>□否 □是 ，接触时间为：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279"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ind w:firstLine="480"/>
              <w:rPr>
                <w:rFonts w:ascii="宋体" w:hAnsi="宋体" w:cs="宋体"/>
                <w:color w:val="333333"/>
                <w:sz w:val="24"/>
              </w:rPr>
            </w:pPr>
            <w:r>
              <w:rPr>
                <w:rFonts w:ascii="宋体" w:hAnsi="宋体" w:cs="宋体"/>
                <w:color w:val="333333"/>
                <w:sz w:val="24"/>
              </w:rPr>
              <w:t>本人承诺以上信息真实准确。如有不实，愿承担由此引起的一切后果及法律责任。</w:t>
            </w:r>
          </w:p>
          <w:p>
            <w:pPr>
              <w:widowControl/>
              <w:spacing w:before="100" w:beforeAutospacing="1" w:after="100" w:afterAutospacing="1"/>
              <w:rPr>
                <w:rFonts w:ascii="宋体" w:hAnsi="宋体" w:cs="宋体"/>
                <w:color w:val="333333"/>
                <w:sz w:val="24"/>
              </w:rPr>
            </w:pPr>
            <w:r>
              <w:rPr>
                <w:rFonts w:ascii="宋体" w:hAnsi="宋体" w:cs="宋体"/>
                <w:color w:val="333333"/>
                <w:sz w:val="24"/>
              </w:rPr>
              <w:t xml:space="preserve">申报人（签名）： </w:t>
            </w:r>
          </w:p>
          <w:p>
            <w:pPr>
              <w:widowControl/>
              <w:spacing w:before="100" w:beforeAutospacing="1" w:after="100" w:afterAutospacing="1"/>
              <w:rPr>
                <w:rFonts w:ascii="宋体" w:hAnsi="宋体" w:cs="宋体"/>
                <w:color w:val="333333"/>
                <w:sz w:val="24"/>
              </w:rPr>
            </w:pPr>
            <w:r>
              <w:rPr>
                <w:rFonts w:hint="eastAsia" w:ascii="宋体" w:hAnsi="宋体" w:cs="宋体"/>
                <w:color w:val="333333"/>
                <w:sz w:val="24"/>
              </w:rPr>
              <w:t>申报</w:t>
            </w:r>
            <w:r>
              <w:rPr>
                <w:rFonts w:ascii="宋体" w:hAnsi="宋体" w:cs="宋体"/>
                <w:color w:val="333333"/>
                <w:sz w:val="24"/>
              </w:rPr>
              <w:t>单位（公章）</w:t>
            </w:r>
          </w:p>
          <w:p>
            <w:pPr>
              <w:widowControl/>
              <w:spacing w:before="100" w:beforeAutospacing="1" w:after="100" w:afterAutospacing="1"/>
              <w:ind w:firstLine="4920"/>
              <w:rPr>
                <w:rFonts w:ascii="宋体" w:hAnsi="宋体" w:cs="宋体"/>
                <w:color w:val="333333"/>
                <w:sz w:val="24"/>
              </w:rPr>
            </w:pPr>
            <w:r>
              <w:rPr>
                <w:rFonts w:ascii="宋体" w:hAnsi="宋体" w:cs="宋体"/>
                <w:color w:val="333333"/>
                <w:sz w:val="24"/>
              </w:rPr>
              <w:t>日期：</w:t>
            </w:r>
          </w:p>
        </w:tc>
      </w:tr>
    </w:tbl>
    <w:p>
      <w:pPr>
        <w:pStyle w:val="3"/>
        <w:spacing w:line="400" w:lineRule="exact"/>
        <w:jc w:val="left"/>
        <w:rPr>
          <w:rFonts w:cs="宋体"/>
          <w:bCs/>
          <w:sz w:val="24"/>
          <w:szCs w:val="24"/>
        </w:rPr>
      </w:pPr>
      <w:r>
        <w:rPr>
          <w:rFonts w:cs="宋体"/>
          <w:bCs/>
          <w:sz w:val="24"/>
          <w:szCs w:val="24"/>
        </w:rPr>
        <w:t>存在瞒报或审查不严的企业，一经发现将严肃处理，在诚信体系中予以记录，并报有关部门依法追究责任。</w:t>
      </w:r>
    </w:p>
    <w:p/>
    <w:p>
      <w:pPr>
        <w:spacing w:line="360" w:lineRule="auto"/>
        <w:jc w:val="center"/>
        <w:outlineLvl w:val="0"/>
        <w:rPr>
          <w:b/>
          <w:sz w:val="32"/>
          <w:szCs w:val="32"/>
        </w:rPr>
      </w:pPr>
      <w:r>
        <w:rPr>
          <w:sz w:val="24"/>
        </w:rPr>
        <w:br w:type="page"/>
      </w:r>
      <w:bookmarkStart w:id="35" w:name="_Toc353825548"/>
      <w:bookmarkStart w:id="36" w:name="_Toc265228423"/>
      <w:bookmarkStart w:id="37" w:name="_Toc150774783"/>
      <w:bookmarkStart w:id="38" w:name="_Toc305158854"/>
      <w:bookmarkStart w:id="39" w:name="_Toc353873938"/>
      <w:bookmarkStart w:id="40" w:name="_Toc195842950"/>
      <w:bookmarkStart w:id="41" w:name="_Toc264969275"/>
      <w:bookmarkStart w:id="42" w:name="_Toc305158928"/>
      <w:bookmarkStart w:id="43" w:name="_Toc512937850"/>
      <w:bookmarkStart w:id="44" w:name="_Toc226965856"/>
      <w:bookmarkStart w:id="45" w:name="_Toc99301374"/>
      <w:bookmarkStart w:id="46" w:name="_Toc127161488"/>
      <w:bookmarkStart w:id="47" w:name="_Toc127151777"/>
      <w:r>
        <w:rPr>
          <w:b/>
          <w:sz w:val="30"/>
          <w:szCs w:val="30"/>
        </w:rPr>
        <w:t>第二章   供应商须知</w:t>
      </w:r>
      <w:bookmarkEnd w:id="35"/>
      <w:bookmarkEnd w:id="36"/>
      <w:bookmarkEnd w:id="37"/>
      <w:bookmarkEnd w:id="38"/>
      <w:bookmarkEnd w:id="39"/>
      <w:bookmarkEnd w:id="40"/>
      <w:bookmarkEnd w:id="41"/>
      <w:bookmarkEnd w:id="42"/>
      <w:bookmarkEnd w:id="43"/>
      <w:bookmarkEnd w:id="44"/>
      <w:bookmarkEnd w:id="45"/>
      <w:bookmarkEnd w:id="46"/>
      <w:bookmarkEnd w:id="47"/>
    </w:p>
    <w:p>
      <w:pPr>
        <w:jc w:val="center"/>
        <w:rPr>
          <w:b/>
          <w:sz w:val="28"/>
          <w:szCs w:val="28"/>
        </w:rPr>
      </w:pPr>
      <w:bookmarkStart w:id="48" w:name="_Hlk97750450"/>
      <w:bookmarkStart w:id="49" w:name="_Toc151193907"/>
      <w:bookmarkStart w:id="50" w:name="_Toc226965792"/>
      <w:bookmarkStart w:id="51" w:name="_Toc150774619"/>
      <w:bookmarkStart w:id="52" w:name="_Toc151190146"/>
      <w:bookmarkStart w:id="53" w:name="_Toc164229214"/>
      <w:bookmarkStart w:id="54" w:name="_Toc150509270"/>
      <w:bookmarkStart w:id="55" w:name="_Toc127161433"/>
      <w:bookmarkStart w:id="56" w:name="_Toc151193617"/>
      <w:bookmarkStart w:id="57" w:name="_Toc151193689"/>
      <w:bookmarkStart w:id="58" w:name="_Toc164351613"/>
      <w:bookmarkStart w:id="59" w:name="_Toc150480757"/>
      <w:bookmarkStart w:id="60" w:name="_Toc226337215"/>
      <w:bookmarkStart w:id="61" w:name="_Toc226965709"/>
      <w:bookmarkStart w:id="62" w:name="_Toc151193761"/>
      <w:bookmarkStart w:id="63" w:name="_Toc226309763"/>
      <w:bookmarkStart w:id="64" w:name="_Toc164608633"/>
      <w:bookmarkStart w:id="65" w:name="_Toc164229360"/>
      <w:bookmarkStart w:id="66" w:name="_Toc164608788"/>
      <w:bookmarkStart w:id="67" w:name="_Toc142311021"/>
      <w:bookmarkStart w:id="68" w:name="_Toc520356144"/>
      <w:bookmarkStart w:id="69" w:name="_Toc195842884"/>
      <w:bookmarkStart w:id="70" w:name="_Toc149720812"/>
      <w:bookmarkStart w:id="71" w:name="_Toc151193833"/>
      <w:bookmarkStart w:id="72" w:name="_Toc150774724"/>
      <w:bookmarkStart w:id="73" w:name="_Toc127151720"/>
      <w:bookmarkStart w:id="74" w:name="_Toc127151519"/>
      <w:r>
        <w:rPr>
          <w:b/>
          <w:sz w:val="28"/>
          <w:szCs w:val="28"/>
        </w:rPr>
        <w:t>供应商须知资料表</w:t>
      </w:r>
      <w:bookmarkEnd w:id="48"/>
    </w:p>
    <w:p>
      <w:pPr>
        <w:jc w:val="center"/>
        <w:rPr>
          <w:b/>
          <w:sz w:val="28"/>
          <w:szCs w:val="28"/>
        </w:rPr>
      </w:pPr>
    </w:p>
    <w:p>
      <w:pPr>
        <w:spacing w:line="360" w:lineRule="auto"/>
        <w:ind w:firstLine="480"/>
        <w:rPr>
          <w:sz w:val="24"/>
        </w:rPr>
      </w:pPr>
      <w:r>
        <w:rPr>
          <w:sz w:val="24"/>
        </w:rPr>
        <w:t>本表是对供应商须知的具体补充和修改，如有矛盾，均以本资料表为准。标记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的选项意为适用于本项目，标记“□”的选项意为不适用于本项目。</w:t>
      </w:r>
    </w:p>
    <w:tbl>
      <w:tblPr>
        <w:tblStyle w:val="43"/>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blHeader/>
          <w:jc w:val="center"/>
        </w:trPr>
        <w:tc>
          <w:tcPr>
            <w:tcW w:w="988" w:type="dxa"/>
            <w:vAlign w:val="center"/>
          </w:tcPr>
          <w:p>
            <w:pPr>
              <w:jc w:val="center"/>
              <w:rPr>
                <w:rFonts w:ascii="宋体" w:hAnsi="宋体" w:cs="宋体"/>
                <w:b/>
                <w:bCs/>
                <w:sz w:val="24"/>
              </w:rPr>
            </w:pPr>
            <w:r>
              <w:rPr>
                <w:rFonts w:hint="eastAsia" w:ascii="宋体" w:hAnsi="宋体" w:cs="宋体"/>
                <w:b/>
                <w:sz w:val="24"/>
              </w:rPr>
              <w:t>条款号</w:t>
            </w:r>
          </w:p>
        </w:tc>
        <w:tc>
          <w:tcPr>
            <w:tcW w:w="1701" w:type="dxa"/>
            <w:vAlign w:val="center"/>
          </w:tcPr>
          <w:p>
            <w:pPr>
              <w:jc w:val="center"/>
              <w:rPr>
                <w:rFonts w:ascii="宋体" w:hAnsi="宋体" w:cs="宋体"/>
                <w:b/>
                <w:bCs/>
                <w:sz w:val="24"/>
              </w:rPr>
            </w:pPr>
            <w:r>
              <w:rPr>
                <w:rFonts w:hint="eastAsia" w:ascii="宋体" w:hAnsi="宋体" w:cs="宋体"/>
                <w:b/>
                <w:bCs/>
                <w:sz w:val="24"/>
              </w:rPr>
              <w:t>条目</w:t>
            </w:r>
          </w:p>
        </w:tc>
        <w:tc>
          <w:tcPr>
            <w:tcW w:w="7253" w:type="dxa"/>
            <w:vAlign w:val="center"/>
          </w:tcPr>
          <w:p>
            <w:pPr>
              <w:jc w:val="center"/>
              <w:rPr>
                <w:rFonts w:ascii="宋体" w:hAnsi="宋体" w:cs="宋体"/>
                <w:b/>
                <w:bCs/>
                <w:sz w:val="24"/>
              </w:rPr>
            </w:pPr>
            <w:r>
              <w:rPr>
                <w:rFonts w:hint="eastAsia" w:ascii="宋体" w:hAnsi="宋体" w:cs="宋体"/>
                <w:b/>
                <w:bCs/>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2.2</w:t>
            </w:r>
          </w:p>
        </w:tc>
        <w:tc>
          <w:tcPr>
            <w:tcW w:w="1701" w:type="dxa"/>
            <w:vAlign w:val="center"/>
          </w:tcPr>
          <w:p>
            <w:pPr>
              <w:jc w:val="center"/>
              <w:rPr>
                <w:rFonts w:ascii="宋体" w:hAnsi="宋体" w:cs="宋体"/>
                <w:sz w:val="24"/>
              </w:rPr>
            </w:pPr>
            <w:r>
              <w:rPr>
                <w:rFonts w:hint="eastAsia" w:ascii="宋体" w:hAnsi="宋体" w:cs="宋体"/>
                <w:sz w:val="24"/>
              </w:rPr>
              <w:t>科研仪器设备</w:t>
            </w:r>
          </w:p>
        </w:tc>
        <w:tc>
          <w:tcPr>
            <w:tcW w:w="7253" w:type="dxa"/>
            <w:vAlign w:val="center"/>
          </w:tcPr>
          <w:p>
            <w:pPr>
              <w:spacing w:line="360" w:lineRule="auto"/>
              <w:jc w:val="left"/>
              <w:rPr>
                <w:rFonts w:ascii="宋体" w:hAnsi="宋体" w:cs="宋体"/>
                <w:sz w:val="24"/>
              </w:rPr>
            </w:pPr>
            <w:r>
              <w:rPr>
                <w:rFonts w:hint="eastAsia" w:ascii="宋体" w:hAnsi="宋体" w:cs="宋体"/>
                <w:sz w:val="24"/>
              </w:rPr>
              <w:t>是否属于科研仪器设备采购项目：</w:t>
            </w:r>
          </w:p>
          <w:p>
            <w:pPr>
              <w:spacing w:line="360" w:lineRule="auto"/>
              <w:jc w:val="left"/>
              <w:rPr>
                <w:rFonts w:ascii="宋体" w:hAnsi="宋体" w:cs="宋体"/>
                <w:sz w:val="24"/>
              </w:rPr>
            </w:pPr>
            <w:r>
              <w:rPr>
                <w:rFonts w:hint="eastAsia" w:ascii="宋体" w:hAnsi="宋体" w:cs="宋体"/>
                <w:sz w:val="24"/>
              </w:rPr>
              <w:t>□是</w:t>
            </w:r>
          </w:p>
          <w:p>
            <w:pPr>
              <w:spacing w:line="360" w:lineRule="auto"/>
              <w:jc w:val="left"/>
              <w:rPr>
                <w:rFonts w:ascii="宋体" w:hAnsi="宋体" w:cs="宋体"/>
                <w:sz w:val="24"/>
              </w:rPr>
            </w:pPr>
            <w:r>
              <w:rPr>
                <w:rFonts w:hint="eastAsia" w:ascii="宋体" w:hAnsi="宋体" w:cs="宋体"/>
                <w:kern w:val="0"/>
                <w:sz w:val="24"/>
              </w:rPr>
              <w:t>■</w:t>
            </w:r>
            <w:r>
              <w:rPr>
                <w:rFonts w:hint="eastAsia" w:ascii="宋体" w:hAnsi="宋体" w:cs="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3.2.5</w:t>
            </w:r>
          </w:p>
        </w:tc>
        <w:tc>
          <w:tcPr>
            <w:tcW w:w="1701" w:type="dxa"/>
            <w:vAlign w:val="center"/>
          </w:tcPr>
          <w:p>
            <w:pPr>
              <w:jc w:val="center"/>
              <w:rPr>
                <w:rFonts w:ascii="宋体" w:hAnsi="宋体" w:cs="宋体"/>
                <w:sz w:val="24"/>
              </w:rPr>
            </w:pPr>
            <w:r>
              <w:rPr>
                <w:rFonts w:hint="eastAsia" w:ascii="宋体" w:hAnsi="宋体" w:cs="宋体"/>
                <w:sz w:val="24"/>
              </w:rPr>
              <w:t>标的所属行业</w:t>
            </w:r>
          </w:p>
        </w:tc>
        <w:tc>
          <w:tcPr>
            <w:tcW w:w="7253" w:type="dxa"/>
            <w:vAlign w:val="center"/>
          </w:tcPr>
          <w:p>
            <w:pPr>
              <w:spacing w:line="360" w:lineRule="auto"/>
              <w:jc w:val="left"/>
              <w:rPr>
                <w:rFonts w:ascii="宋体" w:hAnsi="宋体" w:cs="宋体"/>
                <w:sz w:val="24"/>
              </w:rPr>
            </w:pPr>
            <w:r>
              <w:rPr>
                <w:rFonts w:hint="eastAsia" w:ascii="宋体" w:hAnsi="宋体" w:cs="宋体"/>
                <w:sz w:val="24"/>
              </w:rPr>
              <w:t>本项目采购标的对应的中小企业划分标准所属行业：</w:t>
            </w:r>
            <w:r>
              <w:rPr>
                <w:rFonts w:hint="eastAsia" w:ascii="宋体" w:hAnsi="宋体" w:cs="宋体"/>
                <w:sz w:val="24"/>
                <w:u w:val="single"/>
              </w:rPr>
              <w:t>建筑业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9.2</w:t>
            </w:r>
          </w:p>
        </w:tc>
        <w:tc>
          <w:tcPr>
            <w:tcW w:w="1701" w:type="dxa"/>
            <w:vAlign w:val="center"/>
          </w:tcPr>
          <w:p>
            <w:pPr>
              <w:jc w:val="center"/>
              <w:rPr>
                <w:rFonts w:ascii="宋体" w:hAnsi="宋体" w:cs="宋体"/>
                <w:sz w:val="24"/>
              </w:rPr>
            </w:pPr>
            <w:r>
              <w:rPr>
                <w:rFonts w:hint="eastAsia" w:ascii="宋体" w:hAnsi="宋体" w:cs="宋体"/>
                <w:sz w:val="24"/>
              </w:rPr>
              <w:t>报价</w:t>
            </w:r>
          </w:p>
        </w:tc>
        <w:tc>
          <w:tcPr>
            <w:tcW w:w="7253" w:type="dxa"/>
            <w:vAlign w:val="center"/>
          </w:tcPr>
          <w:p>
            <w:pPr>
              <w:spacing w:line="360" w:lineRule="auto"/>
              <w:jc w:val="left"/>
              <w:rPr>
                <w:rFonts w:ascii="宋体" w:hAnsi="宋体" w:cs="宋体"/>
                <w:sz w:val="24"/>
              </w:rPr>
            </w:pPr>
            <w:r>
              <w:rPr>
                <w:rFonts w:hint="eastAsia" w:ascii="宋体" w:hAnsi="宋体" w:cs="宋体"/>
                <w:sz w:val="24"/>
              </w:rPr>
              <w:t>报价的特殊规定：</w:t>
            </w:r>
          </w:p>
          <w:p>
            <w:pPr>
              <w:spacing w:line="360" w:lineRule="auto"/>
              <w:jc w:val="left"/>
              <w:rPr>
                <w:rFonts w:ascii="宋体" w:hAnsi="宋体" w:cs="宋体"/>
                <w:sz w:val="24"/>
              </w:rPr>
            </w:pPr>
            <w:r>
              <w:rPr>
                <w:rFonts w:hint="eastAsia" w:ascii="宋体" w:hAnsi="宋体" w:cs="宋体"/>
                <w:sz w:val="24"/>
              </w:rPr>
              <w:t>□无</w:t>
            </w:r>
          </w:p>
          <w:p>
            <w:pPr>
              <w:spacing w:line="360" w:lineRule="auto"/>
              <w:jc w:val="left"/>
              <w:rPr>
                <w:rFonts w:ascii="宋体" w:hAnsi="宋体" w:cs="宋体"/>
                <w:sz w:val="24"/>
              </w:rPr>
            </w:pPr>
            <w:r>
              <w:rPr>
                <w:rFonts w:hint="eastAsia" w:ascii="宋体" w:hAnsi="宋体" w:cs="宋体"/>
                <w:kern w:val="0"/>
                <w:sz w:val="24"/>
              </w:rPr>
              <w:t>■</w:t>
            </w:r>
            <w:r>
              <w:rPr>
                <w:rFonts w:hint="eastAsia" w:ascii="宋体" w:hAnsi="宋体" w:cs="宋体"/>
                <w:sz w:val="24"/>
              </w:rPr>
              <w:t>有，具体情形：</w:t>
            </w:r>
            <w:r>
              <w:rPr>
                <w:rFonts w:hint="eastAsia" w:ascii="宋体" w:hAnsi="宋体" w:cs="宋体"/>
                <w:sz w:val="24"/>
                <w:u w:val="single"/>
              </w:rPr>
              <w:t>1、具体详见编制说明及清单；2、本项目采用二轮报价，响应文件中书面报价为首轮报价</w:t>
            </w:r>
            <w:r>
              <w:rPr>
                <w:rFonts w:hint="eastAsia" w:ascii="宋体" w:hAnsi="宋体" w:cs="宋体"/>
                <w:sz w:val="24"/>
                <w:u w:val="single"/>
                <w:lang w:eastAsia="zh-CN"/>
              </w:rPr>
              <w:t>（首轮报价不公开）</w:t>
            </w:r>
            <w:r>
              <w:rPr>
                <w:rFonts w:hint="eastAsia" w:ascii="宋体" w:hAnsi="宋体" w:cs="宋体"/>
                <w:sz w:val="24"/>
                <w:u w:val="single"/>
              </w:rPr>
              <w:t>，第二轮报价不得超过首轮报价，第二轮报价即为最终报价；否则作无效报价文件处理。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10.1</w:t>
            </w:r>
          </w:p>
        </w:tc>
        <w:tc>
          <w:tcPr>
            <w:tcW w:w="1701" w:type="dxa"/>
            <w:vAlign w:val="center"/>
          </w:tcPr>
          <w:p>
            <w:pPr>
              <w:jc w:val="center"/>
              <w:rPr>
                <w:rFonts w:ascii="宋体" w:hAnsi="宋体" w:cs="宋体"/>
                <w:sz w:val="24"/>
              </w:rPr>
            </w:pPr>
            <w:r>
              <w:rPr>
                <w:rFonts w:hint="eastAsia" w:ascii="宋体" w:hAnsi="宋体" w:cs="宋体"/>
                <w:sz w:val="24"/>
              </w:rPr>
              <w:t>保证金</w:t>
            </w:r>
          </w:p>
        </w:tc>
        <w:tc>
          <w:tcPr>
            <w:tcW w:w="7253" w:type="dxa"/>
            <w:vAlign w:val="center"/>
          </w:tcPr>
          <w:p>
            <w:pPr>
              <w:spacing w:line="360" w:lineRule="auto"/>
              <w:jc w:val="left"/>
              <w:rPr>
                <w:rFonts w:ascii="宋体" w:hAnsi="宋体" w:cs="宋体"/>
                <w:sz w:val="24"/>
              </w:rPr>
            </w:pPr>
            <w:r>
              <w:rPr>
                <w:rFonts w:hint="eastAsia" w:ascii="宋体" w:hAnsi="宋体" w:cs="宋体"/>
                <w:sz w:val="24"/>
              </w:rPr>
              <w:t>免收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11.1</w:t>
            </w:r>
          </w:p>
        </w:tc>
        <w:tc>
          <w:tcPr>
            <w:tcW w:w="1701" w:type="dxa"/>
            <w:vAlign w:val="center"/>
          </w:tcPr>
          <w:p>
            <w:pPr>
              <w:jc w:val="center"/>
              <w:rPr>
                <w:rFonts w:ascii="宋体" w:hAnsi="宋体" w:cs="宋体"/>
                <w:sz w:val="24"/>
              </w:rPr>
            </w:pPr>
            <w:r>
              <w:rPr>
                <w:rFonts w:hint="eastAsia" w:ascii="宋体" w:hAnsi="宋体" w:cs="宋体"/>
                <w:sz w:val="24"/>
              </w:rPr>
              <w:t>响应有效期</w:t>
            </w:r>
          </w:p>
        </w:tc>
        <w:tc>
          <w:tcPr>
            <w:tcW w:w="7253" w:type="dxa"/>
            <w:vAlign w:val="center"/>
          </w:tcPr>
          <w:p>
            <w:pPr>
              <w:spacing w:line="360" w:lineRule="auto"/>
              <w:jc w:val="left"/>
              <w:rPr>
                <w:rFonts w:ascii="宋体" w:hAnsi="宋体" w:cs="宋体"/>
                <w:sz w:val="24"/>
              </w:rPr>
            </w:pPr>
            <w:r>
              <w:rPr>
                <w:rFonts w:hint="eastAsia" w:ascii="宋体" w:hAnsi="宋体" w:cs="宋体"/>
                <w:sz w:val="24"/>
              </w:rPr>
              <w:t>自提交响应文件的截止之日起算120日历天。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22.5</w:t>
            </w:r>
          </w:p>
        </w:tc>
        <w:tc>
          <w:tcPr>
            <w:tcW w:w="1701" w:type="dxa"/>
            <w:vAlign w:val="center"/>
          </w:tcPr>
          <w:p>
            <w:pPr>
              <w:jc w:val="center"/>
              <w:rPr>
                <w:rFonts w:ascii="宋体" w:hAnsi="宋体" w:cs="宋体"/>
                <w:sz w:val="24"/>
              </w:rPr>
            </w:pPr>
            <w:r>
              <w:rPr>
                <w:rFonts w:hint="eastAsia" w:ascii="宋体" w:hAnsi="宋体" w:cs="宋体"/>
                <w:sz w:val="24"/>
              </w:rPr>
              <w:t>分包</w:t>
            </w:r>
          </w:p>
        </w:tc>
        <w:tc>
          <w:tcPr>
            <w:tcW w:w="7253" w:type="dxa"/>
            <w:vAlign w:val="center"/>
          </w:tcPr>
          <w:p>
            <w:pPr>
              <w:spacing w:line="360" w:lineRule="auto"/>
              <w:jc w:val="left"/>
              <w:rPr>
                <w:rFonts w:ascii="宋体" w:hAnsi="宋体" w:cs="宋体"/>
                <w:sz w:val="24"/>
              </w:rPr>
            </w:pPr>
            <w:r>
              <w:rPr>
                <w:rFonts w:hint="eastAsia" w:ascii="宋体" w:hAnsi="宋体" w:cs="宋体"/>
                <w:sz w:val="24"/>
              </w:rPr>
              <w:t xml:space="preserve">本项目是否允许分包： </w:t>
            </w:r>
          </w:p>
          <w:p>
            <w:pPr>
              <w:spacing w:line="360" w:lineRule="auto"/>
              <w:jc w:val="left"/>
              <w:rPr>
                <w:rFonts w:ascii="宋体" w:hAnsi="宋体" w:cs="宋体"/>
                <w:sz w:val="24"/>
              </w:rPr>
            </w:pPr>
            <w:r>
              <w:rPr>
                <w:rFonts w:hint="eastAsia" w:ascii="宋体" w:hAnsi="宋体" w:cs="宋体"/>
                <w:kern w:val="0"/>
                <w:sz w:val="24"/>
              </w:rPr>
              <w:t>■</w:t>
            </w:r>
            <w:r>
              <w:rPr>
                <w:rFonts w:hint="eastAsia" w:ascii="宋体" w:hAnsi="宋体" w:cs="宋体"/>
                <w:sz w:val="24"/>
              </w:rPr>
              <w:t>不允许</w:t>
            </w:r>
          </w:p>
          <w:p>
            <w:pPr>
              <w:spacing w:line="360" w:lineRule="auto"/>
              <w:jc w:val="left"/>
              <w:rPr>
                <w:rFonts w:ascii="宋体" w:hAnsi="宋体" w:cs="宋体"/>
                <w:sz w:val="24"/>
              </w:rPr>
            </w:pPr>
            <w:r>
              <w:rPr>
                <w:rFonts w:hint="eastAsia" w:ascii="宋体" w:hAnsi="宋体" w:cs="宋体"/>
                <w:sz w:val="24"/>
              </w:rPr>
              <w:t>□允许，具体要求：</w:t>
            </w:r>
          </w:p>
          <w:p>
            <w:pPr>
              <w:spacing w:line="360" w:lineRule="auto"/>
              <w:jc w:val="left"/>
              <w:rPr>
                <w:rFonts w:ascii="宋体" w:hAnsi="宋体" w:cs="宋体"/>
                <w:sz w:val="24"/>
              </w:rPr>
            </w:pPr>
            <w:r>
              <w:rPr>
                <w:rFonts w:hint="eastAsia" w:ascii="宋体" w:hAnsi="宋体" w:cs="宋体"/>
                <w:sz w:val="24"/>
              </w:rPr>
              <w:t>（1）可以分包履行的具体内容：__________；</w:t>
            </w:r>
          </w:p>
          <w:p>
            <w:pPr>
              <w:spacing w:line="360" w:lineRule="auto"/>
              <w:jc w:val="left"/>
              <w:rPr>
                <w:rFonts w:ascii="宋体" w:hAnsi="宋体" w:cs="宋体"/>
                <w:sz w:val="24"/>
              </w:rPr>
            </w:pPr>
            <w:r>
              <w:rPr>
                <w:rFonts w:hint="eastAsia" w:ascii="宋体" w:hAnsi="宋体" w:cs="宋体"/>
                <w:sz w:val="24"/>
              </w:rPr>
              <w:t>（2）允许分包的金额或者比例：__________；</w:t>
            </w:r>
          </w:p>
          <w:p>
            <w:pPr>
              <w:spacing w:line="360" w:lineRule="auto"/>
              <w:jc w:val="left"/>
              <w:rPr>
                <w:rFonts w:ascii="宋体" w:hAnsi="宋体" w:cs="宋体"/>
                <w:sz w:val="24"/>
              </w:rPr>
            </w:pPr>
            <w:r>
              <w:rPr>
                <w:rFonts w:hint="eastAsia" w:ascii="宋体" w:hAnsi="宋体" w:cs="宋体"/>
                <w:sz w:val="24"/>
              </w:rPr>
              <w:t>（3）其他要求：__________。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23.1.1</w:t>
            </w:r>
          </w:p>
        </w:tc>
        <w:tc>
          <w:tcPr>
            <w:tcW w:w="1701" w:type="dxa"/>
            <w:vAlign w:val="center"/>
          </w:tcPr>
          <w:p>
            <w:pPr>
              <w:jc w:val="center"/>
              <w:rPr>
                <w:rFonts w:ascii="宋体" w:hAnsi="宋体" w:cs="宋体"/>
                <w:sz w:val="24"/>
              </w:rPr>
            </w:pPr>
            <w:r>
              <w:rPr>
                <w:rFonts w:hint="eastAsia" w:ascii="宋体" w:hAnsi="宋体" w:cs="宋体"/>
                <w:sz w:val="24"/>
              </w:rPr>
              <w:t>询问</w:t>
            </w:r>
          </w:p>
        </w:tc>
        <w:tc>
          <w:tcPr>
            <w:tcW w:w="7253" w:type="dxa"/>
            <w:vAlign w:val="center"/>
          </w:tcPr>
          <w:p>
            <w:pPr>
              <w:pStyle w:val="24"/>
              <w:adjustRightInd w:val="0"/>
              <w:snapToGrid w:val="0"/>
              <w:spacing w:line="360" w:lineRule="auto"/>
              <w:jc w:val="left"/>
              <w:rPr>
                <w:rFonts w:hint="default" w:hAnsi="宋体" w:cs="宋体"/>
                <w:sz w:val="24"/>
                <w:szCs w:val="24"/>
                <w:u w:val="single"/>
              </w:rPr>
            </w:pPr>
            <w:r>
              <w:rPr>
                <w:rFonts w:hAnsi="宋体" w:cs="宋体"/>
                <w:sz w:val="24"/>
                <w:szCs w:val="24"/>
              </w:rPr>
              <w:t>询问送达形式：</w:t>
            </w:r>
            <w:r>
              <w:rPr>
                <w:rFonts w:hAnsi="宋体" w:cs="宋体"/>
                <w:sz w:val="24"/>
                <w:szCs w:val="24"/>
                <w:u w:val="single"/>
              </w:rPr>
              <w:t>如对政府采购活动事项有疑问，须将书面文件加盖响应人公章送至采购人和采购代理联系人处，逾期不予受理。（注：1.送疑问材料时须携带授权委托书等相关证明材料；2.疑问材料不接受邮寄）</w:t>
            </w:r>
            <w:r>
              <w:rPr>
                <w:rFonts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23.3</w:t>
            </w:r>
          </w:p>
        </w:tc>
        <w:tc>
          <w:tcPr>
            <w:tcW w:w="1701" w:type="dxa"/>
            <w:vAlign w:val="center"/>
          </w:tcPr>
          <w:p>
            <w:pPr>
              <w:jc w:val="center"/>
              <w:rPr>
                <w:rFonts w:ascii="宋体" w:hAnsi="宋体" w:cs="宋体"/>
                <w:sz w:val="24"/>
              </w:rPr>
            </w:pPr>
            <w:r>
              <w:rPr>
                <w:rFonts w:hint="eastAsia" w:ascii="宋体" w:hAnsi="宋体" w:cs="宋体"/>
                <w:sz w:val="24"/>
              </w:rPr>
              <w:t>联系方式</w:t>
            </w:r>
          </w:p>
        </w:tc>
        <w:tc>
          <w:tcPr>
            <w:tcW w:w="7253" w:type="dxa"/>
            <w:vAlign w:val="center"/>
          </w:tcPr>
          <w:p>
            <w:pPr>
              <w:spacing w:line="360" w:lineRule="auto"/>
              <w:jc w:val="left"/>
              <w:rPr>
                <w:rFonts w:ascii="宋体" w:hAnsi="宋体" w:cs="宋体"/>
                <w:sz w:val="24"/>
              </w:rPr>
            </w:pPr>
            <w:r>
              <w:rPr>
                <w:rFonts w:hint="eastAsia" w:ascii="宋体" w:hAnsi="宋体" w:cs="宋体"/>
                <w:sz w:val="24"/>
              </w:rPr>
              <w:t>接收询问和质疑的联系方式：</w:t>
            </w:r>
          </w:p>
          <w:p>
            <w:pPr>
              <w:spacing w:line="360" w:lineRule="auto"/>
              <w:jc w:val="left"/>
              <w:rPr>
                <w:rFonts w:ascii="宋体" w:hAnsi="宋体" w:cs="宋体"/>
                <w:sz w:val="24"/>
              </w:rPr>
            </w:pPr>
            <w:r>
              <w:rPr>
                <w:rFonts w:hint="eastAsia" w:ascii="宋体" w:hAnsi="宋体" w:cs="宋体"/>
                <w:sz w:val="24"/>
              </w:rPr>
              <w:t>联系部门：</w:t>
            </w:r>
            <w:r>
              <w:rPr>
                <w:rFonts w:hint="eastAsia" w:ascii="宋体" w:hAnsi="宋体" w:cs="宋体"/>
                <w:sz w:val="24"/>
                <w:lang w:eastAsia="zh-CN"/>
              </w:rPr>
              <w:t>常州名源全过程工程咨询有限公司</w:t>
            </w:r>
            <w:r>
              <w:rPr>
                <w:rFonts w:hint="eastAsia" w:ascii="宋体" w:hAnsi="宋体" w:cs="宋体"/>
                <w:sz w:val="24"/>
              </w:rPr>
              <w:t>；</w:t>
            </w:r>
          </w:p>
          <w:p>
            <w:pPr>
              <w:spacing w:line="360" w:lineRule="auto"/>
              <w:jc w:val="left"/>
              <w:rPr>
                <w:rFonts w:ascii="宋体" w:hAnsi="宋体" w:cs="宋体"/>
                <w:sz w:val="24"/>
              </w:rPr>
            </w:pPr>
            <w:r>
              <w:rPr>
                <w:rFonts w:hint="eastAsia" w:ascii="宋体" w:hAnsi="宋体" w:cs="宋体"/>
                <w:sz w:val="24"/>
              </w:rPr>
              <w:t>联系电话：</w:t>
            </w:r>
            <w:r>
              <w:rPr>
                <w:rFonts w:hint="eastAsia" w:ascii="宋体" w:hAnsi="宋体" w:cs="宋体"/>
                <w:sz w:val="24"/>
                <w:lang w:eastAsia="zh-CN"/>
              </w:rPr>
              <w:t>17805082350</w:t>
            </w:r>
            <w:r>
              <w:rPr>
                <w:rFonts w:hint="eastAsia" w:ascii="宋体" w:hAnsi="宋体" w:cs="宋体"/>
                <w:sz w:val="24"/>
              </w:rPr>
              <w:t>；</w:t>
            </w:r>
          </w:p>
          <w:p>
            <w:pPr>
              <w:spacing w:line="360" w:lineRule="auto"/>
              <w:jc w:val="left"/>
              <w:rPr>
                <w:rFonts w:ascii="宋体" w:hAnsi="宋体" w:cs="宋体"/>
                <w:sz w:val="24"/>
              </w:rPr>
            </w:pPr>
            <w:r>
              <w:rPr>
                <w:rFonts w:hint="eastAsia" w:ascii="宋体" w:hAnsi="宋体" w:cs="宋体"/>
                <w:sz w:val="24"/>
              </w:rPr>
              <w:t>通讯地址：</w:t>
            </w:r>
            <w:r>
              <w:rPr>
                <w:rFonts w:hint="eastAsia" w:ascii="宋体" w:hAnsi="宋体" w:cs="宋体"/>
                <w:sz w:val="24"/>
                <w:lang w:eastAsia="zh-CN"/>
              </w:rPr>
              <w:t>常州市金坛区金沙科技金融中心B幢1202</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24.1</w:t>
            </w:r>
          </w:p>
        </w:tc>
        <w:tc>
          <w:tcPr>
            <w:tcW w:w="1701" w:type="dxa"/>
            <w:vAlign w:val="center"/>
          </w:tcPr>
          <w:p>
            <w:pPr>
              <w:jc w:val="center"/>
              <w:rPr>
                <w:rFonts w:ascii="宋体" w:hAnsi="宋体" w:cs="宋体"/>
                <w:sz w:val="24"/>
              </w:rPr>
            </w:pPr>
            <w:r>
              <w:rPr>
                <w:rFonts w:hint="eastAsia" w:ascii="宋体" w:hAnsi="宋体" w:cs="宋体"/>
                <w:sz w:val="24"/>
              </w:rPr>
              <w:t>代理费</w:t>
            </w:r>
          </w:p>
        </w:tc>
        <w:tc>
          <w:tcPr>
            <w:tcW w:w="7253" w:type="dxa"/>
            <w:vAlign w:val="center"/>
          </w:tcPr>
          <w:p>
            <w:pPr>
              <w:spacing w:line="360" w:lineRule="auto"/>
              <w:jc w:val="left"/>
              <w:rPr>
                <w:rFonts w:ascii="宋体" w:hAnsi="宋体" w:cs="宋体"/>
                <w:sz w:val="24"/>
              </w:rPr>
            </w:pPr>
            <w:r>
              <w:rPr>
                <w:rFonts w:hint="eastAsia" w:ascii="宋体" w:hAnsi="宋体" w:cs="宋体"/>
                <w:sz w:val="24"/>
              </w:rPr>
              <w:t>收费对象：</w:t>
            </w:r>
          </w:p>
          <w:p>
            <w:pPr>
              <w:spacing w:line="360" w:lineRule="auto"/>
              <w:jc w:val="left"/>
              <w:rPr>
                <w:rFonts w:ascii="宋体" w:hAnsi="宋体" w:cs="宋体"/>
                <w:sz w:val="24"/>
              </w:rPr>
            </w:pPr>
            <w:r>
              <w:rPr>
                <w:rFonts w:hint="eastAsia" w:ascii="宋体" w:hAnsi="宋体" w:cs="宋体"/>
                <w:sz w:val="24"/>
              </w:rPr>
              <w:t>□采购人</w:t>
            </w:r>
          </w:p>
          <w:p>
            <w:pPr>
              <w:spacing w:line="360" w:lineRule="auto"/>
              <w:jc w:val="left"/>
              <w:rPr>
                <w:rFonts w:ascii="宋体" w:hAnsi="宋体" w:cs="宋体"/>
                <w:sz w:val="24"/>
              </w:rPr>
            </w:pPr>
            <w:r>
              <w:rPr>
                <w:rFonts w:hint="eastAsia" w:ascii="宋体" w:hAnsi="宋体" w:cs="宋体"/>
                <w:kern w:val="0"/>
                <w:sz w:val="24"/>
              </w:rPr>
              <w:t>■</w:t>
            </w:r>
            <w:r>
              <w:rPr>
                <w:rFonts w:hint="eastAsia" w:ascii="宋体" w:hAnsi="宋体" w:cs="宋体"/>
                <w:sz w:val="24"/>
              </w:rPr>
              <w:t>成交供应商</w:t>
            </w:r>
          </w:p>
          <w:p>
            <w:pPr>
              <w:spacing w:line="360" w:lineRule="auto"/>
              <w:jc w:val="left"/>
              <w:rPr>
                <w:rFonts w:ascii="宋体" w:hAnsi="宋体" w:cs="宋体"/>
                <w:sz w:val="24"/>
              </w:rPr>
            </w:pPr>
            <w:r>
              <w:rPr>
                <w:rFonts w:hint="eastAsia" w:ascii="宋体" w:hAnsi="宋体" w:cs="宋体"/>
                <w:sz w:val="24"/>
              </w:rPr>
              <w:t>收费标准：</w:t>
            </w:r>
            <w:r>
              <w:rPr>
                <w:rFonts w:hint="eastAsia" w:ascii="宋体" w:hAnsi="宋体"/>
                <w:sz w:val="24"/>
              </w:rPr>
              <w:t>招标代理服务费</w:t>
            </w:r>
            <w:r>
              <w:rPr>
                <w:rFonts w:hint="eastAsia" w:ascii="宋体" w:hAnsi="宋体"/>
                <w:sz w:val="24"/>
                <w:lang w:val="en-US" w:eastAsia="zh-CN"/>
              </w:rPr>
              <w:t>5000元，响应人在报价时需综合考虑在投标报价中</w:t>
            </w:r>
            <w:r>
              <w:rPr>
                <w:rFonts w:hint="eastAsia" w:ascii="宋体" w:hAnsi="宋体" w:cs="宋体"/>
                <w:sz w:val="24"/>
              </w:rPr>
              <w:t>；</w:t>
            </w:r>
          </w:p>
          <w:p>
            <w:pPr>
              <w:spacing w:line="360" w:lineRule="auto"/>
              <w:jc w:val="left"/>
              <w:rPr>
                <w:rFonts w:ascii="宋体" w:hAnsi="宋体" w:cs="宋体"/>
                <w:sz w:val="24"/>
              </w:rPr>
            </w:pPr>
            <w:r>
              <w:rPr>
                <w:rFonts w:hint="eastAsia" w:ascii="宋体" w:hAnsi="宋体" w:cs="宋体"/>
                <w:sz w:val="24"/>
              </w:rPr>
              <w:t>缴纳时间：由成交供应商支付在领取成交通知书时一次性支付，供应商在报价时需综合考虑在投标报价中。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25.1</w:t>
            </w:r>
          </w:p>
        </w:tc>
        <w:tc>
          <w:tcPr>
            <w:tcW w:w="1701" w:type="dxa"/>
            <w:vAlign w:val="center"/>
          </w:tcPr>
          <w:p>
            <w:pPr>
              <w:pStyle w:val="24"/>
              <w:adjustRightInd w:val="0"/>
              <w:snapToGrid w:val="0"/>
              <w:jc w:val="left"/>
              <w:rPr>
                <w:rFonts w:hint="default" w:hAnsi="宋体" w:cs="宋体"/>
                <w:sz w:val="24"/>
                <w:szCs w:val="24"/>
              </w:rPr>
            </w:pPr>
            <w:r>
              <w:rPr>
                <w:rFonts w:hAnsi="宋体" w:cs="宋体"/>
                <w:sz w:val="24"/>
                <w:szCs w:val="24"/>
              </w:rPr>
              <w:t>资格审查</w:t>
            </w:r>
          </w:p>
        </w:tc>
        <w:tc>
          <w:tcPr>
            <w:tcW w:w="7253" w:type="dxa"/>
            <w:vAlign w:val="center"/>
          </w:tcPr>
          <w:p>
            <w:pPr>
              <w:spacing w:line="360" w:lineRule="auto"/>
              <w:jc w:val="left"/>
              <w:rPr>
                <w:rFonts w:ascii="宋体" w:hAnsi="宋体" w:cs="宋体"/>
                <w:b/>
                <w:bCs/>
                <w:sz w:val="24"/>
              </w:rPr>
            </w:pPr>
            <w:r>
              <w:rPr>
                <w:rFonts w:hint="eastAsia" w:ascii="宋体" w:hAnsi="宋体" w:cs="宋体"/>
                <w:b/>
                <w:bCs/>
                <w:sz w:val="24"/>
              </w:rPr>
              <w:t>本项目采用资格后审方式。</w:t>
            </w:r>
          </w:p>
          <w:p>
            <w:pPr>
              <w:spacing w:line="360" w:lineRule="auto"/>
              <w:jc w:val="left"/>
              <w:rPr>
                <w:rFonts w:hint="eastAsia" w:ascii="宋体" w:hAnsi="宋体" w:eastAsia="宋体" w:cs="宋体"/>
                <w:b/>
                <w:bCs/>
                <w:sz w:val="24"/>
                <w:lang w:eastAsia="zh-CN"/>
              </w:rPr>
            </w:pPr>
            <w:r>
              <w:rPr>
                <w:rFonts w:hint="eastAsia" w:ascii="宋体" w:hAnsi="宋体" w:cs="宋体"/>
                <w:b/>
                <w:bCs/>
                <w:sz w:val="24"/>
              </w:rPr>
              <w:t>资格审查材料</w:t>
            </w:r>
            <w:r>
              <w:rPr>
                <w:rFonts w:hint="eastAsia" w:ascii="宋体" w:hAnsi="宋体" w:cs="宋体"/>
                <w:b/>
                <w:bCs/>
                <w:sz w:val="24"/>
                <w:lang w:eastAsia="zh-CN"/>
              </w:rPr>
              <w:t>：</w:t>
            </w:r>
          </w:p>
          <w:p>
            <w:pPr>
              <w:spacing w:line="360" w:lineRule="auto"/>
              <w:jc w:val="left"/>
              <w:rPr>
                <w:rFonts w:ascii="宋体" w:hAnsi="宋体" w:cs="宋体"/>
                <w:sz w:val="24"/>
              </w:rPr>
            </w:pPr>
            <w:r>
              <w:rPr>
                <w:rFonts w:hint="eastAsia" w:ascii="宋体" w:hAnsi="宋体" w:cs="宋体"/>
                <w:sz w:val="24"/>
              </w:rPr>
              <w:t>（1）响应人基本资格条件材料承诺书面声明；</w:t>
            </w:r>
          </w:p>
          <w:p>
            <w:pPr>
              <w:spacing w:line="360" w:lineRule="auto"/>
              <w:jc w:val="left"/>
              <w:rPr>
                <w:rFonts w:ascii="宋体" w:hAnsi="宋体" w:cs="宋体"/>
                <w:sz w:val="24"/>
              </w:rPr>
            </w:pPr>
            <w:r>
              <w:rPr>
                <w:rFonts w:hint="eastAsia" w:ascii="宋体" w:hAnsi="宋体" w:cs="宋体"/>
                <w:sz w:val="24"/>
              </w:rPr>
              <w:t>（2）供应商资格声明函（格式详见1-1供应商资格声明函）；</w:t>
            </w:r>
          </w:p>
          <w:p>
            <w:pPr>
              <w:spacing w:line="360" w:lineRule="auto"/>
              <w:jc w:val="left"/>
              <w:rPr>
                <w:rFonts w:ascii="宋体" w:hAnsi="宋体" w:cs="宋体"/>
                <w:sz w:val="24"/>
              </w:rPr>
            </w:pPr>
            <w:r>
              <w:rPr>
                <w:rFonts w:hint="eastAsia" w:ascii="宋体" w:hAnsi="宋体" w:cs="宋体"/>
                <w:sz w:val="24"/>
              </w:rPr>
              <w:t>（3）企业资质证书（</w:t>
            </w:r>
            <w:r>
              <w:rPr>
                <w:rFonts w:hint="eastAsia" w:ascii="宋体" w:hAnsi="宋体" w:cs="宋体"/>
                <w:sz w:val="24"/>
                <w:lang w:eastAsia="zh-CN"/>
              </w:rPr>
              <w:t>房屋建筑</w:t>
            </w:r>
            <w:r>
              <w:rPr>
                <w:rFonts w:hint="eastAsia" w:ascii="宋体" w:hAnsi="宋体" w:cs="宋体"/>
                <w:sz w:val="24"/>
              </w:rPr>
              <w:t>工程施工总承包三级及以上资质）、企业安全生产许可证</w:t>
            </w:r>
            <w:r>
              <w:rPr>
                <w:rFonts w:hint="eastAsia" w:ascii="宋体" w:hAnsi="宋体" w:cs="宋体"/>
                <w:b/>
                <w:bCs/>
                <w:sz w:val="24"/>
              </w:rPr>
              <w:t>（原件核查，提供二维码打印件并加盖响应人公章则视为原件）</w:t>
            </w:r>
            <w:r>
              <w:rPr>
                <w:rFonts w:hint="eastAsia" w:ascii="宋体" w:hAnsi="宋体" w:cs="宋体"/>
                <w:sz w:val="24"/>
              </w:rPr>
              <w:t>；</w:t>
            </w:r>
          </w:p>
          <w:p>
            <w:pPr>
              <w:spacing w:line="360" w:lineRule="auto"/>
              <w:jc w:val="left"/>
              <w:rPr>
                <w:rFonts w:ascii="宋体" w:hAnsi="宋体" w:cs="宋体"/>
                <w:b/>
                <w:bCs/>
                <w:sz w:val="24"/>
              </w:rPr>
            </w:pPr>
            <w:r>
              <w:rPr>
                <w:rFonts w:hint="eastAsia" w:ascii="宋体" w:hAnsi="宋体" w:cs="宋体"/>
                <w:sz w:val="24"/>
              </w:rPr>
              <w:t>（4）项目负责人注册证书（</w:t>
            </w:r>
            <w:r>
              <w:rPr>
                <w:rFonts w:hint="eastAsia" w:ascii="宋体" w:hAnsi="宋体" w:cs="宋体"/>
                <w:sz w:val="24"/>
                <w:lang w:eastAsia="zh-CN"/>
              </w:rPr>
              <w:t>建筑</w:t>
            </w:r>
            <w:r>
              <w:rPr>
                <w:rFonts w:hint="eastAsia" w:ascii="宋体" w:hAnsi="宋体" w:cs="宋体"/>
                <w:sz w:val="24"/>
              </w:rPr>
              <w:t>工程二级及以</w:t>
            </w:r>
            <w:bookmarkStart w:id="1209" w:name="_GoBack"/>
            <w:bookmarkEnd w:id="1209"/>
            <w:r>
              <w:rPr>
                <w:rFonts w:hint="eastAsia" w:ascii="宋体" w:hAnsi="宋体" w:cs="宋体"/>
                <w:sz w:val="24"/>
              </w:rPr>
              <w:t>上建造师执业资格）及建设行政主管部门核发的安全生产考核证书B证；</w:t>
            </w:r>
            <w:r>
              <w:rPr>
                <w:rFonts w:hint="eastAsia" w:ascii="宋体" w:hAnsi="宋体" w:cs="宋体"/>
                <w:b/>
                <w:bCs/>
                <w:sz w:val="24"/>
              </w:rPr>
              <w:t>（原件核查，二维码版并加盖公章视作原件）</w:t>
            </w:r>
          </w:p>
          <w:p>
            <w:pPr>
              <w:spacing w:line="360" w:lineRule="auto"/>
              <w:jc w:val="left"/>
              <w:rPr>
                <w:rFonts w:ascii="宋体" w:hAnsi="宋体" w:cs="宋体"/>
                <w:sz w:val="24"/>
              </w:rPr>
            </w:pPr>
            <w:r>
              <w:rPr>
                <w:rFonts w:hint="eastAsia" w:ascii="宋体" w:hAnsi="宋体" w:cs="宋体"/>
                <w:b/>
                <w:bCs/>
                <w:sz w:val="24"/>
              </w:rPr>
              <w:t>注：上述材料必须提供</w:t>
            </w:r>
            <w:r>
              <w:rPr>
                <w:rFonts w:hint="eastAsia" w:ascii="宋体" w:hAnsi="宋体" w:cs="宋体"/>
                <w:b/>
                <w:bCs/>
                <w:sz w:val="24"/>
                <w:lang w:eastAsia="zh-CN"/>
              </w:rPr>
              <w:t>二</w:t>
            </w:r>
            <w:r>
              <w:rPr>
                <w:rFonts w:hint="eastAsia" w:ascii="宋体" w:hAnsi="宋体" w:cs="宋体"/>
                <w:b/>
                <w:bCs/>
                <w:sz w:val="24"/>
              </w:rPr>
              <w:t>套复印件装订成册并与要求“原件核查”的原件(或公证件) 一起单独密封，且须在谈判截止时间前随同响应文件一并提交以供核查,过时不予接收。在开标结束后进行资格审查,资料不全或不符合要求的作资格审查不合格处理，资格审查不合格的响应人不再进入后续评审)。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25.2</w:t>
            </w:r>
          </w:p>
        </w:tc>
        <w:tc>
          <w:tcPr>
            <w:tcW w:w="1701" w:type="dxa"/>
            <w:vAlign w:val="center"/>
          </w:tcPr>
          <w:p>
            <w:pPr>
              <w:spacing w:line="400" w:lineRule="exact"/>
              <w:jc w:val="center"/>
              <w:rPr>
                <w:rFonts w:ascii="宋体" w:hAnsi="宋体" w:cs="宋体"/>
                <w:sz w:val="24"/>
              </w:rPr>
            </w:pPr>
            <w:r>
              <w:rPr>
                <w:rFonts w:hint="eastAsia" w:ascii="宋体" w:hAnsi="宋体" w:cs="宋体"/>
                <w:sz w:val="24"/>
              </w:rPr>
              <w:t>响应文件递交方式</w:t>
            </w:r>
          </w:p>
        </w:tc>
        <w:tc>
          <w:tcPr>
            <w:tcW w:w="7253" w:type="dxa"/>
            <w:vAlign w:val="center"/>
          </w:tcPr>
          <w:p>
            <w:pPr>
              <w:spacing w:line="400" w:lineRule="exact"/>
              <w:rPr>
                <w:rFonts w:ascii="宋体" w:hAnsi="宋体" w:cs="宋体"/>
                <w:sz w:val="24"/>
              </w:rPr>
            </w:pPr>
            <w:r>
              <w:rPr>
                <w:rFonts w:hint="eastAsia" w:ascii="宋体" w:hAnsi="宋体" w:cs="宋体"/>
                <w:sz w:val="24"/>
                <w:lang w:val="zh-CN"/>
              </w:rPr>
              <w:t>本项目采用线下投标，请符合谈判条件的响应人携带规定的材料于谈判截止时间前到谈判地点，进行谈判。除上述方式之外，不接受响应人以邮箱、快递及其他任何方式提交的响应文件。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25.3</w:t>
            </w:r>
          </w:p>
        </w:tc>
        <w:tc>
          <w:tcPr>
            <w:tcW w:w="1701" w:type="dxa"/>
            <w:vAlign w:val="center"/>
          </w:tcPr>
          <w:p>
            <w:pPr>
              <w:spacing w:line="400" w:lineRule="exact"/>
              <w:jc w:val="center"/>
              <w:rPr>
                <w:rFonts w:ascii="宋体" w:hAnsi="宋体" w:cs="宋体"/>
                <w:sz w:val="24"/>
              </w:rPr>
            </w:pPr>
            <w:r>
              <w:rPr>
                <w:rFonts w:hint="eastAsia" w:ascii="宋体" w:hAnsi="宋体" w:cs="宋体"/>
                <w:sz w:val="24"/>
              </w:rPr>
              <w:t>响应文件份数</w:t>
            </w:r>
          </w:p>
        </w:tc>
        <w:tc>
          <w:tcPr>
            <w:tcW w:w="7253" w:type="dxa"/>
            <w:vAlign w:val="center"/>
          </w:tcPr>
          <w:p>
            <w:pPr>
              <w:spacing w:line="400" w:lineRule="exact"/>
              <w:rPr>
                <w:rFonts w:ascii="宋体" w:hAnsi="宋体" w:cs="宋体"/>
                <w:sz w:val="24"/>
              </w:rPr>
            </w:pPr>
            <w:r>
              <w:rPr>
                <w:rFonts w:hint="eastAsia" w:ascii="宋体" w:hAnsi="宋体" w:cs="宋体"/>
                <w:sz w:val="24"/>
                <w:lang w:val="zh-CN"/>
              </w:rPr>
              <w:t>1、份数要求：一式</w:t>
            </w:r>
            <w:r>
              <w:rPr>
                <w:rFonts w:hint="eastAsia" w:ascii="宋体" w:hAnsi="宋体" w:cs="宋体"/>
                <w:sz w:val="24"/>
                <w:lang w:eastAsia="zh-CN"/>
              </w:rPr>
              <w:t>三</w:t>
            </w:r>
            <w:r>
              <w:rPr>
                <w:rFonts w:hint="eastAsia" w:ascii="宋体" w:hAnsi="宋体" w:cs="宋体"/>
                <w:sz w:val="24"/>
                <w:lang w:val="zh-CN"/>
              </w:rPr>
              <w:t>份，一份正本、</w:t>
            </w:r>
            <w:r>
              <w:rPr>
                <w:rFonts w:hint="eastAsia" w:ascii="宋体" w:hAnsi="宋体" w:cs="宋体"/>
                <w:sz w:val="24"/>
                <w:lang w:eastAsia="zh-CN"/>
              </w:rPr>
              <w:t>二</w:t>
            </w:r>
            <w:r>
              <w:rPr>
                <w:rFonts w:hint="eastAsia" w:ascii="宋体" w:hAnsi="宋体" w:cs="宋体"/>
                <w:sz w:val="24"/>
                <w:lang w:val="zh-CN"/>
              </w:rPr>
              <w:t>份副本</w:t>
            </w:r>
            <w:r>
              <w:rPr>
                <w:rFonts w:hint="eastAsia" w:ascii="宋体" w:hAnsi="宋体" w:cs="宋体"/>
                <w:b/>
                <w:sz w:val="24"/>
              </w:rPr>
              <w:t>。</w:t>
            </w:r>
            <w:r>
              <w:rPr>
                <w:rFonts w:hint="eastAsia" w:ascii="宋体" w:hAnsi="宋体" w:cs="宋体"/>
                <w:sz w:val="24"/>
                <w:lang w:val="zh-CN"/>
              </w:rPr>
              <w:br w:type="textWrapping"/>
            </w:r>
            <w:r>
              <w:rPr>
                <w:rFonts w:hint="eastAsia" w:ascii="宋体" w:hAnsi="宋体" w:cs="宋体"/>
                <w:sz w:val="24"/>
                <w:lang w:val="zh-CN"/>
              </w:rPr>
              <w:t>2、密封和标志要求：</w:t>
            </w:r>
            <w:r>
              <w:rPr>
                <w:rFonts w:hint="eastAsia" w:ascii="宋体" w:hAnsi="宋体" w:cs="宋体"/>
                <w:sz w:val="24"/>
                <w:lang w:val="zh-CN"/>
              </w:rPr>
              <w:br w:type="textWrapping"/>
            </w:r>
            <w:r>
              <w:rPr>
                <w:rFonts w:hint="eastAsia" w:ascii="宋体" w:hAnsi="宋体" w:cs="宋体"/>
                <w:sz w:val="24"/>
                <w:lang w:val="zh-CN"/>
              </w:rPr>
              <w:t>（1）正本与副本分开装袋密封，并在封袋封口处加盖响应人单位公章。</w:t>
            </w:r>
            <w:r>
              <w:rPr>
                <w:rFonts w:hint="eastAsia" w:ascii="宋体" w:hAnsi="宋体" w:cs="宋体"/>
                <w:sz w:val="24"/>
                <w:lang w:val="zh-CN"/>
              </w:rPr>
              <w:br w:type="textWrapping"/>
            </w:r>
            <w:r>
              <w:rPr>
                <w:rFonts w:hint="eastAsia" w:ascii="宋体" w:hAnsi="宋体" w:cs="宋体"/>
                <w:sz w:val="24"/>
                <w:lang w:val="zh-CN"/>
              </w:rPr>
              <w:t>（2）响应文件的封袋上应标明采购项目名称、采购项目编号、供应商名称。</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r>
              <w:rPr>
                <w:rFonts w:hint="eastAsia"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25.4</w:t>
            </w:r>
          </w:p>
        </w:tc>
        <w:tc>
          <w:tcPr>
            <w:tcW w:w="1701" w:type="dxa"/>
            <w:vAlign w:val="center"/>
          </w:tcPr>
          <w:p>
            <w:pPr>
              <w:spacing w:line="400" w:lineRule="exact"/>
              <w:jc w:val="center"/>
              <w:rPr>
                <w:rFonts w:ascii="宋体" w:hAnsi="宋体" w:cs="宋体"/>
                <w:sz w:val="24"/>
              </w:rPr>
            </w:pPr>
            <w:r>
              <w:rPr>
                <w:rFonts w:hint="eastAsia" w:ascii="宋体" w:hAnsi="宋体" w:cs="宋体"/>
                <w:sz w:val="24"/>
              </w:rPr>
              <w:t>履约保证金</w:t>
            </w:r>
          </w:p>
        </w:tc>
        <w:tc>
          <w:tcPr>
            <w:tcW w:w="7253" w:type="dxa"/>
            <w:vAlign w:val="center"/>
          </w:tcPr>
          <w:p>
            <w:pPr>
              <w:spacing w:line="400" w:lineRule="exact"/>
              <w:rPr>
                <w:rFonts w:ascii="宋体" w:hAnsi="宋体" w:cs="宋体"/>
                <w:sz w:val="24"/>
              </w:rPr>
            </w:pPr>
            <w:r>
              <w:rPr>
                <w:rFonts w:hint="eastAsia" w:ascii="宋体" w:hAnsi="宋体" w:cs="宋体"/>
                <w:sz w:val="24"/>
              </w:rPr>
              <w:t>成交供应商在合同签订前，向采购人提供相当于合同总价5%的履约保证金（成交供应商自主选择以支票、汇票、本票、保函等非现金形式缴纳或提交），</w:t>
            </w:r>
            <w:r>
              <w:rPr>
                <w:rFonts w:hint="eastAsia" w:ascii="宋体" w:hAnsi="宋体" w:cs="宋体"/>
                <w:sz w:val="24"/>
                <w:lang w:val="zh-CN"/>
              </w:rPr>
              <w:t>采购人将在工程竣工验收合格后一次性退还（不计息）。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988" w:type="dxa"/>
            <w:vAlign w:val="center"/>
          </w:tcPr>
          <w:p>
            <w:pPr>
              <w:pStyle w:val="24"/>
              <w:adjustRightInd w:val="0"/>
              <w:snapToGrid w:val="0"/>
              <w:jc w:val="center"/>
              <w:rPr>
                <w:rFonts w:hint="default" w:hAnsi="宋体" w:cs="宋体"/>
                <w:sz w:val="24"/>
                <w:szCs w:val="24"/>
              </w:rPr>
            </w:pPr>
            <w:r>
              <w:rPr>
                <w:rFonts w:hAnsi="宋体" w:cs="宋体"/>
                <w:sz w:val="24"/>
                <w:szCs w:val="24"/>
              </w:rPr>
              <w:t>25.5</w:t>
            </w:r>
          </w:p>
        </w:tc>
        <w:tc>
          <w:tcPr>
            <w:tcW w:w="1701" w:type="dxa"/>
            <w:vAlign w:val="center"/>
          </w:tcPr>
          <w:p>
            <w:pPr>
              <w:spacing w:line="400" w:lineRule="exact"/>
              <w:jc w:val="center"/>
              <w:rPr>
                <w:rFonts w:ascii="宋体" w:hAnsi="宋体" w:cs="宋体"/>
                <w:sz w:val="24"/>
              </w:rPr>
            </w:pPr>
            <w:r>
              <w:rPr>
                <w:rFonts w:hint="eastAsia" w:ascii="宋体" w:hAnsi="宋体" w:cs="宋体"/>
                <w:sz w:val="24"/>
              </w:rPr>
              <w:t>其他</w:t>
            </w:r>
          </w:p>
        </w:tc>
        <w:tc>
          <w:tcPr>
            <w:tcW w:w="7253" w:type="dxa"/>
            <w:vAlign w:val="center"/>
          </w:tcPr>
          <w:p>
            <w:pPr>
              <w:pStyle w:val="97"/>
              <w:tabs>
                <w:tab w:val="left" w:pos="1323"/>
              </w:tabs>
              <w:spacing w:before="91" w:line="400" w:lineRule="exact"/>
              <w:ind w:firstLine="0" w:firstLineChars="0"/>
              <w:jc w:val="left"/>
              <w:rPr>
                <w:rFonts w:ascii="宋体" w:hAnsi="宋体" w:cs="宋体"/>
                <w:sz w:val="24"/>
                <w:szCs w:val="24"/>
              </w:rPr>
            </w:pPr>
            <w:r>
              <w:rPr>
                <w:rFonts w:hint="eastAsia" w:ascii="宋体" w:hAnsi="宋体" w:cs="宋体"/>
                <w:b/>
                <w:bCs/>
                <w:sz w:val="24"/>
                <w:szCs w:val="24"/>
              </w:rPr>
              <w:t>响应人的法定代表人（或委托代理人）必须参加开标会，并在采购人按开标程序进行点名身份核验时，各到场人员需提供以下材料：</w:t>
            </w:r>
            <w:r>
              <w:rPr>
                <w:rFonts w:hint="eastAsia" w:ascii="宋体" w:hAnsi="宋体" w:cs="宋体"/>
                <w:b/>
                <w:bCs/>
                <w:sz w:val="24"/>
                <w:szCs w:val="24"/>
              </w:rPr>
              <w:br w:type="textWrapping"/>
            </w:r>
            <w:r>
              <w:rPr>
                <w:rFonts w:hint="eastAsia" w:ascii="宋体" w:hAnsi="宋体" w:cs="宋体"/>
                <w:b/>
                <w:bCs/>
                <w:sz w:val="24"/>
                <w:szCs w:val="24"/>
              </w:rPr>
              <w:t>（1）如法定代表人参加开标会，须提交《法定代表人资格证明书》（除</w:t>
            </w:r>
            <w:r>
              <w:rPr>
                <w:rFonts w:hint="eastAsia" w:ascii="宋体" w:hAnsi="宋体" w:cs="宋体"/>
                <w:b/>
                <w:bCs/>
                <w:sz w:val="24"/>
                <w:szCs w:val="24"/>
                <w:lang w:eastAsia="zh-CN"/>
              </w:rPr>
              <w:t>响应文件</w:t>
            </w:r>
            <w:r>
              <w:rPr>
                <w:rFonts w:hint="eastAsia" w:ascii="宋体" w:hAnsi="宋体" w:cs="宋体"/>
                <w:b/>
                <w:bCs/>
                <w:sz w:val="24"/>
                <w:szCs w:val="24"/>
              </w:rPr>
              <w:t>中另单独手持一份）及法定代表人第二代居民身份证原件；</w:t>
            </w:r>
            <w:r>
              <w:rPr>
                <w:rFonts w:hint="eastAsia" w:ascii="宋体" w:hAnsi="宋体" w:cs="宋体"/>
                <w:b/>
                <w:bCs/>
                <w:sz w:val="24"/>
                <w:szCs w:val="24"/>
              </w:rPr>
              <w:br w:type="textWrapping"/>
            </w:r>
            <w:r>
              <w:rPr>
                <w:rFonts w:hint="eastAsia" w:ascii="宋体" w:hAnsi="宋体" w:cs="宋体"/>
                <w:b/>
                <w:bCs/>
                <w:sz w:val="24"/>
                <w:szCs w:val="24"/>
              </w:rPr>
              <w:t>（2）如委托代理人参加开标会，须提交《法定代表人授权委托书》（除</w:t>
            </w:r>
            <w:r>
              <w:rPr>
                <w:rFonts w:hint="eastAsia" w:ascii="宋体" w:hAnsi="宋体" w:cs="宋体"/>
                <w:b/>
                <w:bCs/>
                <w:sz w:val="24"/>
                <w:szCs w:val="24"/>
                <w:lang w:eastAsia="zh-CN"/>
              </w:rPr>
              <w:t>响应文件</w:t>
            </w:r>
            <w:r>
              <w:rPr>
                <w:rFonts w:hint="eastAsia" w:ascii="宋体" w:hAnsi="宋体" w:cs="宋体"/>
                <w:b/>
                <w:bCs/>
                <w:sz w:val="24"/>
                <w:szCs w:val="24"/>
              </w:rPr>
              <w:t>中另单独手持一份）及委托代理人第二代居民身份证原件；</w:t>
            </w:r>
            <w:r>
              <w:rPr>
                <w:rFonts w:hint="eastAsia" w:ascii="宋体" w:hAnsi="宋体" w:cs="宋体"/>
                <w:sz w:val="24"/>
                <w:szCs w:val="24"/>
              </w:rPr>
              <w:br w:type="textWrapping"/>
            </w:r>
            <w:r>
              <w:rPr>
                <w:rFonts w:hint="eastAsia" w:ascii="宋体" w:hAnsi="宋体" w:cs="宋体"/>
                <w:sz w:val="24"/>
                <w:szCs w:val="24"/>
              </w:rPr>
              <w:t>（3）其他注意事项</w:t>
            </w:r>
            <w:r>
              <w:rPr>
                <w:rFonts w:hint="eastAsia" w:ascii="宋体" w:hAnsi="宋体" w:cs="宋体"/>
                <w:sz w:val="24"/>
                <w:szCs w:val="24"/>
              </w:rPr>
              <w:br w:type="textWrapping"/>
            </w:r>
            <w:r>
              <w:rPr>
                <w:rFonts w:hint="eastAsia" w:ascii="宋体" w:hAnsi="宋体" w:cs="宋体"/>
                <w:sz w:val="24"/>
                <w:szCs w:val="24"/>
              </w:rPr>
              <w:t>以上参加人员在谈判截止时间时有下列情形之一的，视为自动放弃投标处理，采购人不予受理：</w:t>
            </w:r>
            <w:r>
              <w:rPr>
                <w:rFonts w:hint="eastAsia" w:ascii="宋体" w:hAnsi="宋体" w:cs="宋体"/>
                <w:sz w:val="24"/>
                <w:szCs w:val="24"/>
              </w:rPr>
              <w:br w:type="textWrapping"/>
            </w:r>
            <w:r>
              <w:rPr>
                <w:rFonts w:hint="eastAsia" w:ascii="宋体" w:hAnsi="宋体" w:cs="宋体"/>
                <w:sz w:val="24"/>
                <w:szCs w:val="24"/>
              </w:rPr>
              <w:t>1、未到达开标现场的；</w:t>
            </w:r>
            <w:r>
              <w:rPr>
                <w:rFonts w:hint="eastAsia" w:ascii="宋体" w:hAnsi="宋体" w:cs="宋体"/>
                <w:sz w:val="24"/>
                <w:szCs w:val="24"/>
              </w:rPr>
              <w:br w:type="textWrapping"/>
            </w:r>
            <w:r>
              <w:rPr>
                <w:rFonts w:hint="eastAsia" w:ascii="宋体" w:hAnsi="宋体" w:cs="宋体"/>
                <w:sz w:val="24"/>
                <w:szCs w:val="24"/>
              </w:rPr>
              <w:t>2、未参加投标签到的；</w:t>
            </w:r>
            <w:r>
              <w:rPr>
                <w:rFonts w:hint="eastAsia" w:ascii="宋体" w:hAnsi="宋体" w:cs="宋体"/>
                <w:sz w:val="24"/>
                <w:szCs w:val="24"/>
              </w:rPr>
              <w:br w:type="textWrapping"/>
            </w:r>
            <w:r>
              <w:rPr>
                <w:rFonts w:hint="eastAsia" w:ascii="宋体" w:hAnsi="宋体" w:cs="宋体"/>
                <w:sz w:val="24"/>
                <w:szCs w:val="24"/>
              </w:rPr>
              <w:t>3、身份核验时未能提供相关材料的；</w:t>
            </w:r>
            <w:r>
              <w:rPr>
                <w:rFonts w:hint="eastAsia" w:ascii="宋体" w:hAnsi="宋体" w:cs="宋体"/>
                <w:sz w:val="24"/>
                <w:szCs w:val="24"/>
              </w:rPr>
              <w:br w:type="textWrapping"/>
            </w:r>
            <w:r>
              <w:rPr>
                <w:rFonts w:hint="eastAsia" w:ascii="宋体" w:hAnsi="宋体" w:cs="宋体"/>
                <w:sz w:val="24"/>
                <w:szCs w:val="24"/>
              </w:rPr>
              <w:t>4、法律法规规定的其他情形。</w:t>
            </w:r>
          </w:p>
          <w:p>
            <w:pPr>
              <w:snapToGrid w:val="0"/>
              <w:spacing w:line="400" w:lineRule="exact"/>
              <w:rPr>
                <w:rFonts w:ascii="宋体" w:hAnsi="宋体" w:cs="宋体"/>
                <w:sz w:val="24"/>
              </w:rPr>
            </w:pPr>
            <w:r>
              <w:rPr>
                <w:rFonts w:hint="eastAsia" w:ascii="宋体" w:hAnsi="宋体" w:cs="宋体"/>
                <w:sz w:val="24"/>
              </w:rPr>
              <w:t>响应人投标前须自行现场踏勘，费用自理，充分考虑各种风险，一旦中标不得以不了解现场情况为由，提出增加费用的要求。</w:t>
            </w:r>
          </w:p>
        </w:tc>
      </w:tr>
    </w:tbl>
    <w:p>
      <w:pPr>
        <w:keepNext/>
        <w:spacing w:line="400" w:lineRule="exact"/>
        <w:jc w:val="left"/>
        <w:outlineLvl w:val="0"/>
        <w:rPr>
          <w:b/>
          <w:bCs/>
          <w:sz w:val="24"/>
        </w:rPr>
      </w:pPr>
      <w:bookmarkStart w:id="75" w:name="_Toc1889"/>
      <w:bookmarkStart w:id="76" w:name="_Toc92960955"/>
      <w:r>
        <w:rPr>
          <w:rFonts w:hint="eastAsia"/>
          <w:b/>
          <w:bCs/>
          <w:sz w:val="24"/>
        </w:rPr>
        <w:t>注：</w:t>
      </w:r>
      <w:bookmarkEnd w:id="75"/>
      <w:bookmarkEnd w:id="76"/>
    </w:p>
    <w:p>
      <w:pPr>
        <w:tabs>
          <w:tab w:val="left" w:pos="5580"/>
        </w:tabs>
        <w:adjustRightInd w:val="0"/>
        <w:spacing w:line="360" w:lineRule="auto"/>
        <w:jc w:val="distribute"/>
        <w:rPr>
          <w:b/>
          <w:bCs/>
          <w:sz w:val="24"/>
        </w:rPr>
        <w:sectPr>
          <w:headerReference r:id="rId3" w:type="first"/>
          <w:footerReference r:id="rId5" w:type="first"/>
          <w:footerReference r:id="rId4" w:type="default"/>
          <w:type w:val="nextColumn"/>
          <w:pgSz w:w="11907" w:h="16840"/>
          <w:pgMar w:top="1418" w:right="1134" w:bottom="1418" w:left="1701" w:header="851" w:footer="851" w:gutter="0"/>
          <w:pgNumType w:start="0"/>
          <w:cols w:space="720" w:num="1"/>
          <w:titlePg/>
          <w:docGrid w:linePitch="462" w:charSpace="0"/>
        </w:sectPr>
      </w:pPr>
      <w:bookmarkStart w:id="77" w:name="_Toc999"/>
      <w:bookmarkStart w:id="78" w:name="_Toc92960956"/>
      <w:r>
        <w:rPr>
          <w:rFonts w:hint="eastAsia"/>
          <w:b/>
          <w:bCs/>
          <w:sz w:val="24"/>
        </w:rPr>
        <w:t>1.</w:t>
      </w:r>
      <w:bookmarkEnd w:id="77"/>
      <w:bookmarkEnd w:id="78"/>
      <w:r>
        <w:rPr>
          <w:rFonts w:hint="eastAsia"/>
          <w:b/>
          <w:bCs/>
          <w:sz w:val="24"/>
        </w:rPr>
        <w:t>响应人须知前附表内容如与谈判文件其他部分不一致，以响应人须知前附表为准。</w:t>
      </w:r>
    </w:p>
    <w:p>
      <w:pPr>
        <w:spacing w:beforeLines="100" w:afterLines="100"/>
        <w:jc w:val="center"/>
        <w:rPr>
          <w:b/>
          <w:sz w:val="28"/>
          <w:szCs w:val="28"/>
        </w:rPr>
      </w:pPr>
      <w:bookmarkStart w:id="79" w:name="_Toc264969207"/>
      <w:bookmarkStart w:id="80" w:name="_Toc305158785"/>
      <w:bookmarkStart w:id="81" w:name="_Toc265228355"/>
      <w:bookmarkStart w:id="82" w:name="_Toc150480755"/>
      <w:bookmarkStart w:id="83" w:name="_Toc353873662"/>
      <w:bookmarkStart w:id="84" w:name="_Toc226337213"/>
      <w:bookmarkStart w:id="85" w:name="_Toc142311019"/>
      <w:bookmarkStart w:id="86" w:name="_Toc127151517"/>
      <w:bookmarkStart w:id="87" w:name="_Toc353825542"/>
      <w:bookmarkStart w:id="88" w:name="_Toc226965790"/>
      <w:bookmarkStart w:id="89" w:name="_Toc353873932"/>
      <w:bookmarkStart w:id="90" w:name="_Toc305158859"/>
      <w:bookmarkStart w:id="91" w:name="_Toc195842882"/>
      <w:bookmarkStart w:id="92" w:name="_Toc150774722"/>
      <w:r>
        <w:rPr>
          <w:b/>
          <w:sz w:val="28"/>
          <w:szCs w:val="28"/>
        </w:rPr>
        <w:t>供应商须知</w:t>
      </w:r>
      <w:bookmarkEnd w:id="79"/>
      <w:bookmarkEnd w:id="80"/>
      <w:bookmarkEnd w:id="81"/>
      <w:bookmarkEnd w:id="82"/>
      <w:bookmarkEnd w:id="83"/>
      <w:bookmarkEnd w:id="84"/>
      <w:bookmarkEnd w:id="85"/>
      <w:bookmarkEnd w:id="86"/>
      <w:bookmarkEnd w:id="87"/>
      <w:bookmarkEnd w:id="88"/>
      <w:bookmarkEnd w:id="89"/>
      <w:bookmarkEnd w:id="90"/>
      <w:bookmarkEnd w:id="91"/>
      <w:bookmarkEnd w:id="92"/>
    </w:p>
    <w:p>
      <w:pPr>
        <w:pStyle w:val="4"/>
        <w:tabs>
          <w:tab w:val="center" w:pos="4592"/>
          <w:tab w:val="left" w:pos="7860"/>
        </w:tabs>
        <w:spacing w:before="0" w:line="360" w:lineRule="auto"/>
        <w:jc w:val="left"/>
        <w:rPr>
          <w:rFonts w:ascii="宋体" w:hAnsi="宋体" w:eastAsia="宋体" w:cs="宋体"/>
          <w:sz w:val="24"/>
          <w:szCs w:val="24"/>
        </w:rPr>
      </w:pPr>
      <w:bookmarkStart w:id="93" w:name="_Toc520356143"/>
      <w:bookmarkStart w:id="94" w:name="_Toc127151518"/>
      <w:r>
        <w:rPr>
          <w:rFonts w:ascii="Times New Roman" w:hAnsi="Times New Roman" w:eastAsia="宋体"/>
          <w:sz w:val="28"/>
        </w:rPr>
        <w:tab/>
      </w:r>
      <w:bookmarkEnd w:id="93"/>
      <w:bookmarkEnd w:id="94"/>
      <w:bookmarkStart w:id="95" w:name="_Toc151193832"/>
      <w:bookmarkStart w:id="96" w:name="_Toc226337214"/>
      <w:bookmarkStart w:id="97" w:name="_Toc265228356"/>
      <w:bookmarkStart w:id="98" w:name="_Toc305158860"/>
      <w:bookmarkStart w:id="99" w:name="_Toc226965791"/>
      <w:bookmarkStart w:id="100" w:name="_Toc226965708"/>
      <w:bookmarkStart w:id="101" w:name="_Toc142311020"/>
      <w:bookmarkStart w:id="102" w:name="_Toc150774723"/>
      <w:bookmarkStart w:id="103" w:name="_Toc151190145"/>
      <w:bookmarkStart w:id="104" w:name="_Toc226309762"/>
      <w:bookmarkStart w:id="105" w:name="_Toc150774618"/>
      <w:bookmarkStart w:id="106" w:name="_Toc151193688"/>
      <w:bookmarkStart w:id="107" w:name="_Toc150509269"/>
      <w:bookmarkStart w:id="108" w:name="_Toc264969208"/>
      <w:bookmarkStart w:id="109" w:name="_Toc151193906"/>
      <w:bookmarkStart w:id="110" w:name="_Toc151193616"/>
      <w:bookmarkStart w:id="111" w:name="_Toc150480756"/>
      <w:bookmarkStart w:id="112" w:name="_Toc151193760"/>
      <w:bookmarkStart w:id="113" w:name="_Toc305158786"/>
      <w:bookmarkStart w:id="114" w:name="_Toc195842883"/>
      <w:bookmarkStart w:id="115" w:name="_Toc264969244"/>
      <w:bookmarkStart w:id="116" w:name="_Toc226965827"/>
      <w:bookmarkStart w:id="117" w:name="_Toc265228392"/>
      <w:bookmarkStart w:id="118" w:name="_Toc226337250"/>
      <w:bookmarkStart w:id="119" w:name="_Toc305158896"/>
      <w:bookmarkStart w:id="120" w:name="_Toc150774759"/>
      <w:bookmarkStart w:id="121" w:name="_Toc353873664"/>
      <w:bookmarkStart w:id="122" w:name="_Toc353825544"/>
      <w:bookmarkStart w:id="123" w:name="_Toc305158822"/>
      <w:bookmarkStart w:id="124" w:name="_Toc150480792"/>
      <w:bookmarkStart w:id="125" w:name="_Toc142311056"/>
      <w:bookmarkStart w:id="126" w:name="_Toc127151554"/>
      <w:bookmarkStart w:id="127" w:name="_Toc353873934"/>
      <w:bookmarkStart w:id="128" w:name="_Toc99301375"/>
      <w:r>
        <w:rPr>
          <w:rFonts w:hint="eastAsia" w:ascii="宋体" w:hAnsi="宋体" w:eastAsia="宋体" w:cs="宋体"/>
          <w:sz w:val="24"/>
          <w:szCs w:val="24"/>
        </w:rPr>
        <w:t>一   说  明</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hint="eastAsia" w:ascii="宋体" w:hAnsi="宋体" w:eastAsia="宋体" w:cs="宋体"/>
          <w:sz w:val="24"/>
          <w:szCs w:val="24"/>
        </w:rPr>
        <w:tab/>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129" w:name="_Toc305158787"/>
      <w:bookmarkStart w:id="130" w:name="_Toc265228357"/>
      <w:bookmarkStart w:id="131" w:name="_Toc264969209"/>
      <w:bookmarkStart w:id="132" w:name="_Toc305158861"/>
      <w:r>
        <w:rPr>
          <w:rFonts w:hint="eastAsia" w:ascii="宋体" w:hAnsi="宋体" w:cs="宋体"/>
          <w:sz w:val="24"/>
        </w:rPr>
        <w:t>采购人、采购代理机构、供应商</w:t>
      </w:r>
      <w:bookmarkEnd w:id="129"/>
      <w:bookmarkEnd w:id="130"/>
      <w:bookmarkEnd w:id="131"/>
      <w:bookmarkEnd w:id="132"/>
      <w:r>
        <w:rPr>
          <w:rFonts w:hint="eastAsia" w:ascii="宋体" w:hAnsi="宋体" w:cs="宋体"/>
          <w:sz w:val="24"/>
        </w:rPr>
        <w:t>、联合体</w:t>
      </w:r>
    </w:p>
    <w:p>
      <w:pPr>
        <w:numPr>
          <w:ilvl w:val="1"/>
          <w:numId w:val="8"/>
        </w:numPr>
        <w:tabs>
          <w:tab w:val="left" w:pos="1080"/>
          <w:tab w:val="left" w:pos="2014"/>
          <w:tab w:val="left" w:pos="5521"/>
          <w:tab w:val="clear" w:pos="0"/>
        </w:tabs>
        <w:snapToGrid w:val="0"/>
        <w:spacing w:line="360" w:lineRule="auto"/>
        <w:ind w:left="0" w:firstLine="0"/>
        <w:rPr>
          <w:rFonts w:ascii="宋体" w:hAnsi="宋体" w:cs="宋体"/>
          <w:sz w:val="24"/>
        </w:rPr>
      </w:pPr>
      <w:r>
        <w:rPr>
          <w:rFonts w:hint="eastAsia" w:ascii="宋体" w:hAnsi="宋体" w:cs="宋体"/>
          <w:sz w:val="24"/>
        </w:rPr>
        <w:t>采购人、采购代理机构：指依法进行政府采购的国家机关、事业单位、团体组织，及其委托的采购代理机构。本项目采购人、采购代理机构见第一章《采购邀请》。</w:t>
      </w:r>
    </w:p>
    <w:p>
      <w:pPr>
        <w:numPr>
          <w:ilvl w:val="1"/>
          <w:numId w:val="8"/>
        </w:numPr>
        <w:tabs>
          <w:tab w:val="left" w:pos="1080"/>
          <w:tab w:val="left" w:pos="2014"/>
          <w:tab w:val="left" w:pos="5521"/>
          <w:tab w:val="clear" w:pos="0"/>
        </w:tabs>
        <w:snapToGrid w:val="0"/>
        <w:spacing w:line="360" w:lineRule="auto"/>
        <w:ind w:left="0" w:firstLine="0"/>
        <w:rPr>
          <w:rFonts w:ascii="宋体" w:hAnsi="宋体" w:cs="宋体"/>
          <w:sz w:val="24"/>
        </w:rPr>
      </w:pPr>
      <w:r>
        <w:rPr>
          <w:rFonts w:hint="eastAsia" w:ascii="宋体" w:hAnsi="宋体" w:cs="宋体"/>
          <w:sz w:val="24"/>
        </w:rPr>
        <w:t>供应商（也称“申请人”）：指向采购人提供货物、工程或者服务的法人、其他组织或者自然人。</w:t>
      </w:r>
    </w:p>
    <w:p>
      <w:pPr>
        <w:numPr>
          <w:ilvl w:val="1"/>
          <w:numId w:val="8"/>
        </w:numPr>
        <w:tabs>
          <w:tab w:val="left" w:pos="1080"/>
          <w:tab w:val="left" w:pos="2014"/>
          <w:tab w:val="left" w:pos="5521"/>
          <w:tab w:val="clear" w:pos="0"/>
        </w:tabs>
        <w:snapToGrid w:val="0"/>
        <w:spacing w:line="360" w:lineRule="auto"/>
        <w:ind w:left="0" w:firstLine="0"/>
        <w:rPr>
          <w:rFonts w:ascii="宋体" w:hAnsi="宋体" w:cs="宋体"/>
          <w:sz w:val="24"/>
        </w:rPr>
      </w:pPr>
      <w:r>
        <w:rPr>
          <w:rFonts w:hint="eastAsia" w:ascii="宋体" w:hAnsi="宋体" w:cs="宋体"/>
          <w:sz w:val="24"/>
        </w:rPr>
        <w:t>联合体：指两个以上的自然人、法人或者其他组织组成一个联合体，以一个供应商的身份共同参加政府采购。</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133" w:name="_Toc164229215"/>
      <w:bookmarkStart w:id="134" w:name="_Toc127151721"/>
      <w:bookmarkStart w:id="135" w:name="_Toc151193908"/>
      <w:bookmarkStart w:id="136" w:name="_Toc265228358"/>
      <w:bookmarkStart w:id="137" w:name="_Toc226309764"/>
      <w:bookmarkStart w:id="138" w:name="_Toc226337216"/>
      <w:bookmarkStart w:id="139" w:name="_Toc127161434"/>
      <w:bookmarkStart w:id="140" w:name="_Toc142311022"/>
      <w:bookmarkStart w:id="141" w:name="_Toc150480758"/>
      <w:bookmarkStart w:id="142" w:name="_Toc164608634"/>
      <w:bookmarkStart w:id="143" w:name="_Toc150774725"/>
      <w:bookmarkStart w:id="144" w:name="_Toc164351614"/>
      <w:bookmarkStart w:id="145" w:name="_Toc305158788"/>
      <w:bookmarkStart w:id="146" w:name="_Toc151193690"/>
      <w:bookmarkStart w:id="147" w:name="_Toc164608789"/>
      <w:bookmarkStart w:id="148" w:name="_Toc226965793"/>
      <w:bookmarkStart w:id="149" w:name="_Toc151193618"/>
      <w:bookmarkStart w:id="150" w:name="_Toc151193762"/>
      <w:bookmarkStart w:id="151" w:name="_Toc127151520"/>
      <w:bookmarkStart w:id="152" w:name="_Toc149720813"/>
      <w:bookmarkStart w:id="153" w:name="_Toc164229361"/>
      <w:bookmarkStart w:id="154" w:name="_Toc305158862"/>
      <w:bookmarkStart w:id="155" w:name="_Toc264969210"/>
      <w:bookmarkStart w:id="156" w:name="_Toc151190147"/>
      <w:bookmarkStart w:id="157" w:name="_Toc151193834"/>
      <w:bookmarkStart w:id="158" w:name="_Toc226965710"/>
      <w:bookmarkStart w:id="159" w:name="_Toc150509271"/>
      <w:bookmarkStart w:id="160" w:name="_Toc150774620"/>
      <w:bookmarkStart w:id="161" w:name="_Toc195842885"/>
      <w:r>
        <w:rPr>
          <w:rFonts w:hint="eastAsia" w:ascii="宋体" w:hAnsi="宋体" w:cs="宋体"/>
          <w:sz w:val="24"/>
        </w:rPr>
        <w:t>资金来源</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ascii="宋体" w:hAnsi="宋体" w:cs="宋体"/>
          <w:sz w:val="24"/>
        </w:rPr>
        <w:t>、科研仪器设备采购</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资金来源为财政性资金和/或本项目采购中无法与财政性资金分割的非财政性资金。</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是否属于科研仪器设备采购见《供应商须知资料表》。</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162" w:name="_Toc127151522"/>
      <w:bookmarkStart w:id="163" w:name="_Toc264969212"/>
      <w:bookmarkStart w:id="164" w:name="_Toc150774622"/>
      <w:bookmarkStart w:id="165" w:name="_Toc151193764"/>
      <w:bookmarkStart w:id="166" w:name="_Toc226965795"/>
      <w:bookmarkStart w:id="167" w:name="_Toc195842887"/>
      <w:bookmarkStart w:id="168" w:name="_Toc142311024"/>
      <w:bookmarkStart w:id="169" w:name="_Toc520356146"/>
      <w:bookmarkStart w:id="170" w:name="_Toc305158864"/>
      <w:bookmarkStart w:id="171" w:name="_Toc151190149"/>
      <w:bookmarkStart w:id="172" w:name="_Toc150480760"/>
      <w:bookmarkStart w:id="173" w:name="_Toc305158790"/>
      <w:bookmarkStart w:id="174" w:name="_Toc265228360"/>
      <w:bookmarkStart w:id="175" w:name="_Toc151193910"/>
      <w:bookmarkStart w:id="176" w:name="_Toc151193836"/>
      <w:bookmarkStart w:id="177" w:name="_Toc150509273"/>
      <w:bookmarkStart w:id="178" w:name="_Toc151193692"/>
      <w:bookmarkStart w:id="179" w:name="_Toc226337218"/>
      <w:bookmarkStart w:id="180" w:name="_Toc150774727"/>
      <w:bookmarkStart w:id="181" w:name="_Toc226309766"/>
      <w:bookmarkStart w:id="182" w:name="_Toc226965712"/>
      <w:bookmarkStart w:id="183" w:name="_Toc151193620"/>
      <w:r>
        <w:rPr>
          <w:rFonts w:hint="eastAsia" w:ascii="宋体" w:hAnsi="宋体" w:cs="宋体"/>
          <w:sz w:val="24"/>
        </w:rPr>
        <w:t>政府采购政策（包括但不限于下列具体政策要求）</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进口产品</w:t>
      </w:r>
    </w:p>
    <w:p>
      <w:pPr>
        <w:numPr>
          <w:ilvl w:val="2"/>
          <w:numId w:val="8"/>
        </w:numPr>
        <w:tabs>
          <w:tab w:val="left" w:pos="2014"/>
          <w:tab w:val="clear" w:pos="261"/>
        </w:tabs>
        <w:snapToGrid w:val="0"/>
        <w:spacing w:line="360" w:lineRule="auto"/>
        <w:ind w:left="0" w:firstLine="0"/>
        <w:rPr>
          <w:rFonts w:ascii="宋体" w:hAnsi="宋体" w:cs="宋体"/>
          <w:sz w:val="24"/>
        </w:rPr>
      </w:pPr>
      <w:r>
        <w:rPr>
          <w:rFonts w:hint="eastAsia" w:ascii="宋体" w:hAnsi="宋体" w:cs="宋体"/>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中小企业、监狱企业及残疾人福利性单位</w:t>
      </w:r>
    </w:p>
    <w:p>
      <w:pPr>
        <w:numPr>
          <w:ilvl w:val="2"/>
          <w:numId w:val="8"/>
        </w:numPr>
        <w:snapToGrid w:val="0"/>
        <w:spacing w:line="360" w:lineRule="auto"/>
        <w:ind w:left="0" w:firstLine="0"/>
        <w:rPr>
          <w:rFonts w:ascii="宋体" w:hAnsi="宋体" w:cs="宋体"/>
          <w:color w:val="000000"/>
          <w:sz w:val="24"/>
        </w:rPr>
      </w:pPr>
      <w:r>
        <w:rPr>
          <w:rFonts w:hint="eastAsia" w:ascii="宋体" w:hAnsi="宋体" w:cs="宋体"/>
          <w:sz w:val="24"/>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w:t>
      </w:r>
      <w:r>
        <w:rPr>
          <w:rFonts w:hint="eastAsia" w:ascii="宋体" w:hAnsi="宋体" w:cs="宋体"/>
          <w:color w:val="000000"/>
          <w:sz w:val="24"/>
        </w:rPr>
        <w:t>》（财库〔2020〕46号）、《关于印发中小企业划型标准规定的通知》（工信部联企业〔2011〕300 号）、《国务院关于进一步促进中小企业发展的若干意见》（国发〔2009〕36 号）。</w:t>
      </w:r>
    </w:p>
    <w:p>
      <w:pPr>
        <w:numPr>
          <w:ilvl w:val="3"/>
          <w:numId w:val="8"/>
        </w:numPr>
        <w:tabs>
          <w:tab w:val="left" w:pos="640"/>
          <w:tab w:val="left" w:pos="1980"/>
          <w:tab w:val="left" w:pos="2035"/>
          <w:tab w:val="clear" w:pos="901"/>
        </w:tabs>
        <w:snapToGrid w:val="0"/>
        <w:spacing w:line="360" w:lineRule="auto"/>
        <w:ind w:left="0" w:firstLine="0"/>
        <w:rPr>
          <w:rFonts w:ascii="宋体" w:hAnsi="宋体" w:cs="宋体"/>
          <w:color w:val="000000"/>
          <w:sz w:val="24"/>
        </w:rPr>
      </w:pPr>
      <w:r>
        <w:rPr>
          <w:rFonts w:hint="eastAsia" w:ascii="宋体" w:hAnsi="宋体" w:cs="宋体"/>
          <w:sz w:val="24"/>
        </w:rPr>
        <w:t>供应商提供的货物、工程或者服务符合下列情形的，享受中小企业扶持政策：</w:t>
      </w:r>
    </w:p>
    <w:p>
      <w:pPr>
        <w:tabs>
          <w:tab w:val="left" w:pos="1980"/>
        </w:tabs>
        <w:snapToGrid w:val="0"/>
        <w:spacing w:line="360" w:lineRule="auto"/>
        <w:rPr>
          <w:rFonts w:ascii="宋体" w:hAnsi="宋体" w:cs="宋体"/>
          <w:color w:val="000000"/>
          <w:sz w:val="24"/>
        </w:rPr>
      </w:pPr>
      <w:r>
        <w:rPr>
          <w:rFonts w:hint="eastAsia" w:ascii="宋体" w:hAnsi="宋体" w:cs="宋体"/>
          <w:color w:val="000000"/>
          <w:sz w:val="24"/>
        </w:rPr>
        <w:t>（1）在货物采购项目中，货物由中小企业制造，即货物由中小企业生产且使用该中小企业商号或者注册商标；</w:t>
      </w:r>
    </w:p>
    <w:p>
      <w:pPr>
        <w:tabs>
          <w:tab w:val="left" w:pos="1980"/>
        </w:tabs>
        <w:snapToGrid w:val="0"/>
        <w:spacing w:line="360" w:lineRule="auto"/>
        <w:rPr>
          <w:rFonts w:ascii="宋体" w:hAnsi="宋体" w:cs="宋体"/>
          <w:color w:val="000000"/>
          <w:sz w:val="24"/>
        </w:rPr>
      </w:pPr>
      <w:r>
        <w:rPr>
          <w:rFonts w:hint="eastAsia" w:ascii="宋体" w:hAnsi="宋体" w:cs="宋体"/>
          <w:color w:val="000000"/>
          <w:sz w:val="24"/>
        </w:rPr>
        <w:t>（2）在工程采购项目中，工程由中小企业承建，即工程施工单位为中小企业；</w:t>
      </w:r>
    </w:p>
    <w:p>
      <w:pPr>
        <w:tabs>
          <w:tab w:val="left" w:pos="1980"/>
        </w:tabs>
        <w:snapToGrid w:val="0"/>
        <w:spacing w:line="360" w:lineRule="auto"/>
        <w:rPr>
          <w:rFonts w:ascii="宋体" w:hAnsi="宋体" w:cs="宋体"/>
          <w:color w:val="000000"/>
          <w:sz w:val="24"/>
        </w:rPr>
      </w:pPr>
      <w:r>
        <w:rPr>
          <w:rFonts w:hint="eastAsia" w:ascii="宋体" w:hAnsi="宋体" w:cs="宋体"/>
          <w:color w:val="000000"/>
          <w:sz w:val="24"/>
        </w:rPr>
        <w:t>（3）在服务采购项目中，服务由中小企业承接，即提供服务的人员为中小企业依照《中华人民共和国劳动合同法》订立劳动合同的从业人员。</w:t>
      </w:r>
    </w:p>
    <w:p>
      <w:pPr>
        <w:numPr>
          <w:ilvl w:val="3"/>
          <w:numId w:val="8"/>
        </w:numPr>
        <w:tabs>
          <w:tab w:val="left" w:pos="1980"/>
          <w:tab w:val="left" w:pos="2035"/>
          <w:tab w:val="left" w:pos="2885"/>
          <w:tab w:val="left" w:pos="2977"/>
          <w:tab w:val="clear" w:pos="901"/>
        </w:tabs>
        <w:snapToGrid w:val="0"/>
        <w:spacing w:line="360" w:lineRule="auto"/>
        <w:ind w:left="0" w:firstLine="0"/>
        <w:rPr>
          <w:rFonts w:ascii="宋体" w:hAnsi="宋体" w:cs="宋体"/>
          <w:sz w:val="24"/>
        </w:rPr>
      </w:pPr>
      <w:r>
        <w:rPr>
          <w:rFonts w:hint="eastAsia" w:ascii="宋体" w:hAnsi="宋体" w:cs="宋体"/>
          <w:color w:val="000000"/>
          <w:sz w:val="24"/>
        </w:rPr>
        <w:t>在货物采购项目中，供应商提供的货物既有中小企业制造货物，也有大型企业</w:t>
      </w:r>
      <w:r>
        <w:rPr>
          <w:rFonts w:hint="eastAsia" w:ascii="宋体" w:hAnsi="宋体" w:cs="宋体"/>
          <w:sz w:val="24"/>
        </w:rPr>
        <w:t>制造货物的，不享受中小企业扶持政策。</w:t>
      </w:r>
    </w:p>
    <w:p>
      <w:pPr>
        <w:numPr>
          <w:ilvl w:val="3"/>
          <w:numId w:val="8"/>
        </w:numPr>
        <w:tabs>
          <w:tab w:val="left" w:pos="1980"/>
          <w:tab w:val="left" w:pos="2035"/>
          <w:tab w:val="left" w:pos="2885"/>
          <w:tab w:val="left" w:pos="2977"/>
          <w:tab w:val="clear" w:pos="901"/>
        </w:tabs>
        <w:snapToGrid w:val="0"/>
        <w:spacing w:line="360" w:lineRule="auto"/>
        <w:ind w:left="0" w:firstLine="0"/>
        <w:rPr>
          <w:rFonts w:ascii="宋体" w:hAnsi="宋体" w:cs="宋体"/>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8"/>
        </w:numPr>
        <w:snapToGrid w:val="0"/>
        <w:spacing w:line="360" w:lineRule="auto"/>
        <w:ind w:left="0" w:firstLine="0"/>
        <w:rPr>
          <w:rFonts w:ascii="宋体" w:hAnsi="宋体" w:cs="宋体"/>
          <w:color w:val="000000"/>
          <w:sz w:val="24"/>
        </w:rPr>
      </w:pPr>
      <w:r>
        <w:rPr>
          <w:rFonts w:hint="eastAsia" w:ascii="宋体" w:hAnsi="宋体" w:cs="宋体"/>
          <w:sz w:val="24"/>
        </w:rPr>
        <w:t>残疾人福利单位定义：</w:t>
      </w:r>
    </w:p>
    <w:p>
      <w:pPr>
        <w:tabs>
          <w:tab w:val="left" w:pos="261"/>
        </w:tabs>
        <w:snapToGrid w:val="0"/>
        <w:spacing w:line="360" w:lineRule="auto"/>
        <w:rPr>
          <w:rFonts w:ascii="宋体" w:hAnsi="宋体" w:cs="宋体"/>
          <w:color w:val="000000"/>
          <w:sz w:val="24"/>
        </w:rPr>
      </w:pPr>
      <w:r>
        <w:rPr>
          <w:rFonts w:hint="eastAsia" w:ascii="宋体" w:hAnsi="宋体" w:cs="宋体"/>
          <w:sz w:val="24"/>
        </w:rPr>
        <w:t>(1)享受政府采购支持政策的残疾人福利性单位应当同时满足以下条件：</w:t>
      </w:r>
      <w:r>
        <w:rPr>
          <w:rFonts w:hint="eastAsia" w:ascii="宋体" w:hAnsi="宋体" w:cs="宋体"/>
          <w:color w:val="000000"/>
          <w:sz w:val="24"/>
        </w:rPr>
        <w:t>安置的残疾人占本单位在职职工人数的比例不低于25%（含25%），并且安置的残疾人人数不少于10 人（含10 人）；</w:t>
      </w:r>
    </w:p>
    <w:p>
      <w:pPr>
        <w:tabs>
          <w:tab w:val="left" w:pos="1980"/>
          <w:tab w:val="left" w:pos="2035"/>
          <w:tab w:val="left" w:pos="2885"/>
          <w:tab w:val="left" w:pos="2977"/>
        </w:tabs>
        <w:snapToGrid w:val="0"/>
        <w:spacing w:line="360" w:lineRule="auto"/>
        <w:rPr>
          <w:rFonts w:ascii="宋体" w:hAnsi="宋体" w:cs="宋体"/>
          <w:color w:val="000000"/>
          <w:sz w:val="24"/>
        </w:rPr>
      </w:pPr>
      <w:r>
        <w:rPr>
          <w:rFonts w:hint="eastAsia" w:ascii="宋体" w:hAnsi="宋体" w:cs="宋体"/>
          <w:sz w:val="24"/>
        </w:rPr>
        <w:t>(2)依法与安置的每位残疾人签订了一年以上（含一年）的劳动合同或服务协议；</w:t>
      </w:r>
    </w:p>
    <w:p>
      <w:pPr>
        <w:tabs>
          <w:tab w:val="left" w:pos="1980"/>
          <w:tab w:val="left" w:pos="2035"/>
          <w:tab w:val="left" w:pos="2885"/>
          <w:tab w:val="left" w:pos="2977"/>
        </w:tabs>
        <w:snapToGrid w:val="0"/>
        <w:spacing w:line="360" w:lineRule="auto"/>
        <w:rPr>
          <w:rFonts w:ascii="宋体" w:hAnsi="宋体" w:cs="宋体"/>
          <w:color w:val="000000"/>
          <w:sz w:val="24"/>
        </w:rPr>
      </w:pPr>
      <w:r>
        <w:rPr>
          <w:rFonts w:hint="eastAsia" w:ascii="宋体" w:hAnsi="宋体" w:cs="宋体"/>
          <w:sz w:val="24"/>
        </w:rPr>
        <w:t>(3)为安置的每位残疾人按月足额缴纳了基本养老保险、基本医疗保险、失业保险、工伤保险和生育保险等社会保险费；</w:t>
      </w:r>
    </w:p>
    <w:p>
      <w:pPr>
        <w:tabs>
          <w:tab w:val="left" w:pos="1980"/>
          <w:tab w:val="left" w:pos="2035"/>
          <w:tab w:val="left" w:pos="2885"/>
          <w:tab w:val="left" w:pos="2977"/>
        </w:tabs>
        <w:snapToGrid w:val="0"/>
        <w:spacing w:line="360" w:lineRule="auto"/>
        <w:rPr>
          <w:rFonts w:ascii="宋体" w:hAnsi="宋体" w:cs="宋体"/>
          <w:color w:val="000000"/>
          <w:sz w:val="24"/>
        </w:rPr>
      </w:pPr>
      <w:r>
        <w:rPr>
          <w:rFonts w:hint="eastAsia" w:ascii="宋体" w:hAnsi="宋体" w:cs="宋体"/>
          <w:sz w:val="24"/>
        </w:rPr>
        <w:t>(4)通过银行等金融机构向安置的每位残疾人，按月支付了不低于单位所在区县适用的经省级人民政府批准的月最低工资标准的工资；</w:t>
      </w:r>
    </w:p>
    <w:p>
      <w:pPr>
        <w:tabs>
          <w:tab w:val="left" w:pos="1980"/>
          <w:tab w:val="left" w:pos="2035"/>
          <w:tab w:val="left" w:pos="2885"/>
          <w:tab w:val="left" w:pos="2977"/>
        </w:tabs>
        <w:snapToGrid w:val="0"/>
        <w:spacing w:line="360" w:lineRule="auto"/>
        <w:rPr>
          <w:rFonts w:ascii="宋体" w:hAnsi="宋体" w:cs="宋体"/>
          <w:color w:val="000000"/>
          <w:sz w:val="24"/>
        </w:rPr>
      </w:pPr>
      <w:r>
        <w:rPr>
          <w:rFonts w:hint="eastAsia" w:ascii="宋体" w:hAnsi="宋体" w:cs="宋体"/>
          <w:sz w:val="24"/>
        </w:rPr>
        <w:t>(5)提供本单位制造的货物、承担的工程或者服务（以下简称产品），或者提供其他残疾人福利性单位制造的货物（不包括使用非残疾人福利性单位注册商标的货物）；</w:t>
      </w:r>
    </w:p>
    <w:p>
      <w:pPr>
        <w:tabs>
          <w:tab w:val="left" w:pos="1980"/>
          <w:tab w:val="left" w:pos="2035"/>
          <w:tab w:val="left" w:pos="2885"/>
          <w:tab w:val="left" w:pos="2977"/>
        </w:tabs>
        <w:snapToGrid w:val="0"/>
        <w:spacing w:line="360" w:lineRule="auto"/>
        <w:rPr>
          <w:rFonts w:ascii="宋体" w:hAnsi="宋体" w:cs="宋体"/>
          <w:color w:val="000000"/>
          <w:sz w:val="24"/>
        </w:rPr>
      </w:pPr>
      <w:r>
        <w:rPr>
          <w:rFonts w:hint="eastAsia" w:ascii="宋体" w:hAnsi="宋体" w:cs="宋体"/>
          <w:sz w:val="24"/>
        </w:rPr>
        <w:t>(6)前款所称残疾人是指法定劳动年龄内，持有《中华人民共和国残疾人证》或者《中华人民共和国残疾军人证（1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本项目是否专门面向中小企业预留采购份额见第一章《采购邀请》。</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采购标的对应的中小企业划分标准所属行业见《供应商须知资料表》。</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小微企业价格评审优惠的政策调整：见第三章《评审程序和评定成交的标准》。</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政府采购节能产品、环境标志产品</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如本项目采购产品属于实施政府强制采购品目清单范围的节能产品，则供应商所报产品必须获得国家确定的认证机构出具的、处于有效期之内的节能产品认证证书</w:t>
      </w:r>
      <w:bookmarkStart w:id="184" w:name="_Hlk97501674"/>
      <w:r>
        <w:rPr>
          <w:rFonts w:hint="eastAsia" w:ascii="宋体" w:hAnsi="宋体" w:cs="宋体"/>
          <w:sz w:val="24"/>
        </w:rPr>
        <w:t>，否则</w:t>
      </w:r>
      <w:r>
        <w:rPr>
          <w:rFonts w:hint="eastAsia" w:ascii="宋体" w:hAnsi="宋体" w:cs="宋体"/>
          <w:b/>
          <w:bCs/>
          <w:sz w:val="24"/>
        </w:rPr>
        <w:t>响应无效</w:t>
      </w:r>
      <w:bookmarkEnd w:id="184"/>
      <w:r>
        <w:rPr>
          <w:rFonts w:hint="eastAsia" w:ascii="宋体" w:hAnsi="宋体" w:cs="宋体"/>
          <w:sz w:val="24"/>
        </w:rPr>
        <w:t>；</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非政府强制采购的节能产品或环境标志产品，依据品目清单和认证证书实施政府优先采购。优先采购的具体规定见第三章《评审程序和评定成交的标准》（如涉及）。</w:t>
      </w:r>
    </w:p>
    <w:p>
      <w:pPr>
        <w:numPr>
          <w:ilvl w:val="2"/>
          <w:numId w:val="8"/>
        </w:numPr>
        <w:tabs>
          <w:tab w:val="left" w:pos="2014"/>
          <w:tab w:val="clear" w:pos="261"/>
        </w:tabs>
        <w:snapToGrid w:val="0"/>
        <w:spacing w:line="360" w:lineRule="auto"/>
        <w:ind w:left="0" w:firstLine="0"/>
        <w:rPr>
          <w:rFonts w:ascii="宋体" w:hAnsi="宋体" w:cs="宋体"/>
          <w:sz w:val="24"/>
        </w:rPr>
      </w:pPr>
      <w:r>
        <w:rPr>
          <w:rFonts w:hint="eastAsia" w:ascii="宋体" w:hAnsi="宋体" w:cs="宋体"/>
          <w:sz w:val="24"/>
        </w:rPr>
        <w:t>依据《关于印发〈商品包装政府采购需求标准（试行）〉、〈快递包装政府采购需求标准（试行）〉的通知》（财办库〔2020〕123号）文件精神，采购人在采购文件中明确政府采购供应商提供产品及相关快递服务的具体包装要求的，在政府采购合同中载明对政府采购供应商提供产品及相关快递服务的具体包装要求和履约验收相关条款的，中标成交供应商必须严格执行，必要时应按照要求在履约验收环节出具检测报告。</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支持乡村产业振兴管理</w:t>
      </w:r>
    </w:p>
    <w:p>
      <w:pPr>
        <w:numPr>
          <w:ilvl w:val="2"/>
          <w:numId w:val="8"/>
        </w:numPr>
        <w:tabs>
          <w:tab w:val="left" w:pos="2014"/>
          <w:tab w:val="clear" w:pos="261"/>
        </w:tabs>
        <w:snapToGrid w:val="0"/>
        <w:spacing w:line="360" w:lineRule="auto"/>
        <w:ind w:left="0" w:firstLine="0"/>
        <w:rPr>
          <w:rFonts w:ascii="宋体" w:hAnsi="宋体" w:cs="宋体"/>
          <w:sz w:val="24"/>
        </w:rPr>
      </w:pPr>
      <w:r>
        <w:rPr>
          <w:rFonts w:hint="eastAsia" w:ascii="宋体" w:hAnsi="宋体" w:cs="宋体"/>
          <w:sz w:val="24"/>
        </w:rPr>
        <w:t>为落实《关于运用政府采购政策支持乡村产业振兴的通知》（财库〔2021〕19号）有关要求，做好支持脱贫攻坚工作，本项目采购活动中对于支持乡村振兴管理的相关要求见第四章《采购需求》（如涉及）。</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正版软件</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hint="eastAsia" w:ascii="宋体" w:hAnsi="宋体" w:cs="宋体"/>
          <w:b/>
          <w:bCs/>
          <w:sz w:val="24"/>
        </w:rPr>
        <w:t>响应无效</w:t>
      </w:r>
      <w:r>
        <w:rPr>
          <w:rFonts w:hint="eastAsia" w:ascii="宋体" w:hAnsi="宋体" w:cs="宋体"/>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信息安全产品</w:t>
      </w:r>
    </w:p>
    <w:p>
      <w:pPr>
        <w:numPr>
          <w:ilvl w:val="2"/>
          <w:numId w:val="8"/>
        </w:numPr>
        <w:tabs>
          <w:tab w:val="left" w:pos="2014"/>
          <w:tab w:val="clear" w:pos="261"/>
        </w:tabs>
        <w:snapToGrid w:val="0"/>
        <w:spacing w:line="360" w:lineRule="auto"/>
        <w:ind w:left="0" w:firstLine="0"/>
        <w:rPr>
          <w:rFonts w:ascii="宋体" w:hAnsi="宋体" w:cs="宋体"/>
          <w:sz w:val="24"/>
        </w:rPr>
      </w:pPr>
      <w:r>
        <w:rPr>
          <w:rFonts w:hint="eastAsia" w:ascii="宋体" w:hAnsi="宋体" w:cs="宋体"/>
          <w:sz w:val="24"/>
        </w:rPr>
        <w:t>所投产品属于《关于调整信息安全产品强制性认证实施要求的公告》（2009 年第33 号）范围的，采购经国家认证的信息安全产品，否则</w:t>
      </w:r>
      <w:r>
        <w:rPr>
          <w:rFonts w:hint="eastAsia" w:ascii="宋体" w:hAnsi="宋体" w:cs="宋体"/>
          <w:b/>
          <w:bCs/>
          <w:sz w:val="24"/>
        </w:rPr>
        <w:t>响应无效</w:t>
      </w:r>
      <w:r>
        <w:rPr>
          <w:rFonts w:hint="eastAsia" w:ascii="宋体" w:hAnsi="宋体" w:cs="宋体"/>
          <w:sz w:val="24"/>
        </w:rPr>
        <w:t>。关于信息安全相关规定依据《关于信息安全产品实施政府采购的通知》（财库〔2010〕48 号）。</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政府采购创新产品政策</w:t>
      </w:r>
    </w:p>
    <w:p>
      <w:pPr>
        <w:numPr>
          <w:ilvl w:val="2"/>
          <w:numId w:val="8"/>
        </w:numPr>
        <w:tabs>
          <w:tab w:val="left" w:pos="2014"/>
          <w:tab w:val="clear" w:pos="261"/>
        </w:tabs>
        <w:snapToGrid w:val="0"/>
        <w:spacing w:line="360" w:lineRule="auto"/>
        <w:ind w:left="0" w:firstLine="0"/>
      </w:pPr>
      <w:r>
        <w:rPr>
          <w:rFonts w:hint="eastAsia" w:ascii="宋体" w:hAnsi="宋体" w:cs="宋体"/>
          <w:sz w:val="24"/>
        </w:rPr>
        <w:t>采购人要将创新要求嵌入采购项目需求，可在采购文件中设定评审规则，优先采购各级政府部门公开发布的有效期内的创新产品、创新服务、首台套、首购首用等《目录》的创新产品，上述《目录》内创新产品，自认定之日起2年内视同已具备相应销售业绩，参加政府采购活动时业绩分值为满分。</w:t>
      </w:r>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响应费用</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供应商应自行承担所有与准备和参加竞争性谈判响应有关的费用，无论响应的结果如何(包括采购单位决定取消采购的)，采购人或采购代理机构在任何情况下均无承担这些费用的义务和责任。</w:t>
      </w:r>
    </w:p>
    <w:p>
      <w:pPr>
        <w:tabs>
          <w:tab w:val="left" w:pos="1080"/>
        </w:tabs>
        <w:snapToGrid w:val="0"/>
        <w:spacing w:line="360" w:lineRule="auto"/>
        <w:rPr>
          <w:rFonts w:ascii="宋体" w:hAnsi="宋体" w:cs="宋体"/>
          <w:sz w:val="24"/>
        </w:rPr>
      </w:pPr>
      <w:bookmarkStart w:id="185" w:name="_1.8_计量单位"/>
      <w:bookmarkEnd w:id="185"/>
    </w:p>
    <w:p>
      <w:pPr>
        <w:pStyle w:val="4"/>
        <w:spacing w:before="0" w:line="360" w:lineRule="auto"/>
        <w:jc w:val="both"/>
        <w:rPr>
          <w:rFonts w:ascii="宋体" w:hAnsi="宋体" w:eastAsia="宋体" w:cs="宋体"/>
          <w:sz w:val="24"/>
          <w:szCs w:val="24"/>
        </w:rPr>
      </w:pPr>
      <w:r>
        <w:rPr>
          <w:rFonts w:hint="eastAsia" w:ascii="宋体" w:hAnsi="宋体" w:eastAsia="宋体" w:cs="宋体"/>
          <w:sz w:val="24"/>
          <w:szCs w:val="24"/>
        </w:rPr>
        <w:t xml:space="preserve">二   </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hint="eastAsia" w:ascii="宋体" w:hAnsi="宋体" w:eastAsia="宋体" w:cs="宋体"/>
          <w:sz w:val="24"/>
          <w:szCs w:val="24"/>
        </w:rPr>
        <w:t>谈判文件</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186" w:name="_Toc149720816"/>
      <w:bookmarkStart w:id="187" w:name="_Toc164608792"/>
      <w:bookmarkStart w:id="188" w:name="_Toc226337219"/>
      <w:bookmarkStart w:id="189" w:name="_Toc150774728"/>
      <w:bookmarkStart w:id="190" w:name="_Toc226965796"/>
      <w:bookmarkStart w:id="191" w:name="_Toc164608637"/>
      <w:bookmarkStart w:id="192" w:name="_Toc142311025"/>
      <w:bookmarkStart w:id="193" w:name="_Toc164229364"/>
      <w:bookmarkStart w:id="194" w:name="_Toc150509274"/>
      <w:bookmarkStart w:id="195" w:name="_Toc151193693"/>
      <w:bookmarkStart w:id="196" w:name="_Toc164351617"/>
      <w:bookmarkStart w:id="197" w:name="_Toc265228361"/>
      <w:bookmarkStart w:id="198" w:name="_Toc127151724"/>
      <w:bookmarkStart w:id="199" w:name="_Toc151193837"/>
      <w:bookmarkStart w:id="200" w:name="_Toc164229218"/>
      <w:bookmarkStart w:id="201" w:name="_Toc520356147"/>
      <w:bookmarkStart w:id="202" w:name="_Toc226965713"/>
      <w:bookmarkStart w:id="203" w:name="_Toc151193621"/>
      <w:bookmarkStart w:id="204" w:name="_Toc127161437"/>
      <w:bookmarkStart w:id="205" w:name="_Toc195842888"/>
      <w:bookmarkStart w:id="206" w:name="_Toc150774623"/>
      <w:bookmarkStart w:id="207" w:name="_Toc305158791"/>
      <w:bookmarkStart w:id="208" w:name="_Toc151190150"/>
      <w:bookmarkStart w:id="209" w:name="_Toc305158865"/>
      <w:bookmarkStart w:id="210" w:name="_Toc127151523"/>
      <w:bookmarkStart w:id="211" w:name="_Toc151193765"/>
      <w:bookmarkStart w:id="212" w:name="_Toc264969213"/>
      <w:bookmarkStart w:id="213" w:name="_Toc150480761"/>
      <w:bookmarkStart w:id="214" w:name="_Toc151193911"/>
      <w:bookmarkStart w:id="215" w:name="_Toc226309767"/>
      <w:r>
        <w:rPr>
          <w:rFonts w:hint="eastAsia" w:ascii="宋体" w:hAnsi="宋体" w:cs="宋体"/>
          <w:sz w:val="24"/>
        </w:rPr>
        <w:t>谈判文件构</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Pr>
          <w:rFonts w:hint="eastAsia" w:ascii="宋体" w:hAnsi="宋体" w:cs="宋体"/>
          <w:sz w:val="24"/>
        </w:rPr>
        <w:t>成</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谈判文件包括以下部分：</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谈判邀请</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供应商须知</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评审程序和评定成交的标准</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采购需求</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合同草案条款</w:t>
      </w:r>
    </w:p>
    <w:p>
      <w:pPr>
        <w:numPr>
          <w:ilvl w:val="0"/>
          <w:numId w:val="9"/>
        </w:numPr>
        <w:tabs>
          <w:tab w:val="left" w:pos="1980"/>
          <w:tab w:val="left" w:pos="2520"/>
        </w:tabs>
        <w:snapToGrid w:val="0"/>
        <w:spacing w:line="360" w:lineRule="auto"/>
        <w:ind w:left="0" w:firstLine="0"/>
        <w:rPr>
          <w:rFonts w:ascii="宋体" w:hAnsi="宋体" w:cs="宋体"/>
          <w:sz w:val="24"/>
        </w:rPr>
      </w:pPr>
      <w:r>
        <w:rPr>
          <w:rFonts w:hint="eastAsia" w:ascii="宋体" w:hAnsi="宋体" w:cs="宋体"/>
          <w:sz w:val="24"/>
        </w:rPr>
        <w:t>响应文件格式</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供应商应认真阅读谈判文件的全部内容。供应商应按照谈判文件要求提交响应文件并保证所提供的全部资料的真实性，并对谈判文件做出实质性响应，否则</w:t>
      </w:r>
      <w:r>
        <w:rPr>
          <w:rFonts w:hint="eastAsia" w:ascii="宋体" w:hAnsi="宋体" w:cs="宋体"/>
          <w:b/>
          <w:bCs/>
          <w:sz w:val="24"/>
        </w:rPr>
        <w:t>响应无效</w:t>
      </w:r>
      <w:r>
        <w:rPr>
          <w:rFonts w:hint="eastAsia" w:ascii="宋体" w:hAnsi="宋体" w:cs="宋体"/>
          <w:sz w:val="24"/>
        </w:rPr>
        <w:t>。</w:t>
      </w:r>
    </w:p>
    <w:p>
      <w:pPr>
        <w:numPr>
          <w:ilvl w:val="0"/>
          <w:numId w:val="8"/>
        </w:numPr>
        <w:tabs>
          <w:tab w:val="left" w:pos="1080"/>
          <w:tab w:val="left" w:pos="2014"/>
          <w:tab w:val="clear" w:pos="0"/>
        </w:tabs>
        <w:snapToGrid w:val="0"/>
        <w:spacing w:line="360" w:lineRule="auto"/>
        <w:ind w:left="0" w:firstLine="0"/>
        <w:outlineLvl w:val="1"/>
        <w:rPr>
          <w:rFonts w:ascii="宋体" w:hAnsi="宋体" w:cs="宋体"/>
          <w:sz w:val="24"/>
        </w:rPr>
      </w:pPr>
      <w:r>
        <w:rPr>
          <w:rFonts w:hint="eastAsia" w:ascii="宋体" w:hAnsi="宋体" w:cs="宋体"/>
          <w:sz w:val="24"/>
        </w:rPr>
        <w:t>对谈判文件的澄清或修改</w:t>
      </w:r>
    </w:p>
    <w:p>
      <w:pPr>
        <w:numPr>
          <w:ilvl w:val="1"/>
          <w:numId w:val="8"/>
        </w:numPr>
        <w:tabs>
          <w:tab w:val="left" w:pos="1080"/>
          <w:tab w:val="left" w:pos="1561"/>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采购人或采购代理机构对已发出的谈判文件进行必要澄清或者修改的，将在原公告发布媒体上以发布更正公告的形式通知所有获取谈判文件的供应商。</w:t>
      </w:r>
    </w:p>
    <w:p>
      <w:pPr>
        <w:numPr>
          <w:ilvl w:val="1"/>
          <w:numId w:val="8"/>
        </w:numPr>
        <w:tabs>
          <w:tab w:val="left" w:pos="1080"/>
          <w:tab w:val="left" w:pos="1561"/>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澄清或者修改的内容为谈判文件的组成部分，并对所有获取谈判文件的潜在供应商具有约束力。澄清或者修改的内容可能影响响应文件编制的，将在</w:t>
      </w:r>
      <w:r>
        <w:rPr>
          <w:rFonts w:hint="eastAsia" w:ascii="宋体" w:hAnsi="宋体" w:cs="宋体"/>
          <w:color w:val="000000"/>
          <w:sz w:val="24"/>
        </w:rPr>
        <w:t>提交首次响应文件截止之日3个工作日</w:t>
      </w:r>
      <w:r>
        <w:rPr>
          <w:rFonts w:hint="eastAsia" w:ascii="宋体" w:hAnsi="宋体" w:cs="宋体"/>
          <w:sz w:val="24"/>
        </w:rPr>
        <w:t>前，以更正公告形式通知所有获取谈判文件的潜在供应商；不足</w:t>
      </w:r>
      <w:r>
        <w:rPr>
          <w:rFonts w:hint="eastAsia" w:ascii="宋体" w:hAnsi="宋体" w:cs="宋体"/>
          <w:color w:val="000000"/>
          <w:sz w:val="24"/>
        </w:rPr>
        <w:t>3个工作日</w:t>
      </w:r>
      <w:r>
        <w:rPr>
          <w:rFonts w:hint="eastAsia" w:ascii="宋体" w:hAnsi="宋体" w:cs="宋体"/>
          <w:sz w:val="24"/>
        </w:rPr>
        <w:t>的，将顺延</w:t>
      </w:r>
      <w:r>
        <w:rPr>
          <w:rFonts w:hint="eastAsia" w:ascii="宋体" w:hAnsi="宋体" w:cs="宋体"/>
          <w:color w:val="000000"/>
          <w:sz w:val="24"/>
        </w:rPr>
        <w:t>提交首次响应文件截止之日</w:t>
      </w:r>
      <w:r>
        <w:rPr>
          <w:rFonts w:hint="eastAsia" w:ascii="宋体" w:hAnsi="宋体" w:cs="宋体"/>
          <w:sz w:val="24"/>
        </w:rPr>
        <w:t>。</w:t>
      </w:r>
    </w:p>
    <w:p>
      <w:pPr>
        <w:tabs>
          <w:tab w:val="left" w:pos="900"/>
          <w:tab w:val="left" w:pos="1080"/>
          <w:tab w:val="left" w:pos="1561"/>
          <w:tab w:val="left" w:pos="1589"/>
        </w:tabs>
        <w:snapToGrid w:val="0"/>
        <w:spacing w:line="360" w:lineRule="auto"/>
        <w:rPr>
          <w:rFonts w:ascii="宋体" w:hAnsi="宋体" w:cs="宋体"/>
          <w:sz w:val="24"/>
        </w:rPr>
      </w:pPr>
    </w:p>
    <w:p>
      <w:pPr>
        <w:pStyle w:val="4"/>
        <w:spacing w:before="0" w:line="360" w:lineRule="auto"/>
        <w:jc w:val="both"/>
        <w:rPr>
          <w:rFonts w:ascii="宋体" w:hAnsi="宋体" w:eastAsia="宋体" w:cs="宋体"/>
          <w:sz w:val="24"/>
          <w:szCs w:val="24"/>
        </w:rPr>
      </w:pPr>
      <w:bookmarkStart w:id="216" w:name="_Toc516367020"/>
      <w:bookmarkStart w:id="217" w:name="_Toc151193696"/>
      <w:bookmarkStart w:id="218" w:name="_Toc151193914"/>
      <w:bookmarkStart w:id="219" w:name="_Toc150774626"/>
      <w:bookmarkStart w:id="220" w:name="_Toc520356150"/>
      <w:bookmarkStart w:id="221" w:name="_Toc151193768"/>
      <w:bookmarkStart w:id="222" w:name="_Toc127151526"/>
      <w:bookmarkStart w:id="223" w:name="_Toc226309770"/>
      <w:bookmarkStart w:id="224" w:name="_Toc151193840"/>
      <w:bookmarkStart w:id="225" w:name="_Toc150480764"/>
      <w:bookmarkStart w:id="226" w:name="_Toc150774731"/>
      <w:bookmarkStart w:id="227" w:name="_Toc305158868"/>
      <w:bookmarkStart w:id="228" w:name="_Toc226965716"/>
      <w:bookmarkStart w:id="229" w:name="_Toc265228364"/>
      <w:bookmarkStart w:id="230" w:name="_Toc226337222"/>
      <w:bookmarkStart w:id="231" w:name="_Toc264969216"/>
      <w:bookmarkStart w:id="232" w:name="_Toc226965799"/>
      <w:bookmarkStart w:id="233" w:name="_Toc151193624"/>
      <w:bookmarkStart w:id="234" w:name="_Toc151190153"/>
      <w:bookmarkStart w:id="235" w:name="_Toc305158794"/>
      <w:bookmarkStart w:id="236" w:name="_Toc195842891"/>
      <w:bookmarkStart w:id="237" w:name="_Toc142311028"/>
      <w:bookmarkStart w:id="238" w:name="_Toc150509277"/>
      <w:r>
        <w:rPr>
          <w:rFonts w:hint="eastAsia" w:ascii="宋体" w:hAnsi="宋体" w:eastAsia="宋体" w:cs="宋体"/>
          <w:sz w:val="24"/>
          <w:szCs w:val="24"/>
        </w:rPr>
        <w:t>三   响应文件</w:t>
      </w:r>
      <w:bookmarkEnd w:id="216"/>
      <w:r>
        <w:rPr>
          <w:rFonts w:hint="eastAsia" w:ascii="宋体" w:hAnsi="宋体" w:eastAsia="宋体" w:cs="宋体"/>
          <w:sz w:val="24"/>
          <w:szCs w:val="24"/>
        </w:rPr>
        <w:t>的编制</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239" w:name="_Toc164229368"/>
      <w:bookmarkStart w:id="240" w:name="_Toc226337223"/>
      <w:bookmarkStart w:id="241" w:name="_Toc151193769"/>
      <w:bookmarkStart w:id="242" w:name="_Toc265228365"/>
      <w:bookmarkStart w:id="243" w:name="_Toc151190154"/>
      <w:bookmarkStart w:id="244" w:name="_Toc127161441"/>
      <w:bookmarkStart w:id="245" w:name="_Toc226309771"/>
      <w:bookmarkStart w:id="246" w:name="_Toc149720820"/>
      <w:bookmarkStart w:id="247" w:name="_Toc151193915"/>
      <w:bookmarkStart w:id="248" w:name="_Toc151193697"/>
      <w:bookmarkStart w:id="249" w:name="_Toc226965800"/>
      <w:bookmarkStart w:id="250" w:name="_Toc150480765"/>
      <w:bookmarkStart w:id="251" w:name="_Toc305158869"/>
      <w:bookmarkStart w:id="252" w:name="_Toc127151527"/>
      <w:bookmarkStart w:id="253" w:name="_Toc164608796"/>
      <w:bookmarkStart w:id="254" w:name="_Toc226965717"/>
      <w:bookmarkStart w:id="255" w:name="_Toc164608641"/>
      <w:bookmarkStart w:id="256" w:name="_Toc151193625"/>
      <w:bookmarkStart w:id="257" w:name="_Toc150509278"/>
      <w:bookmarkStart w:id="258" w:name="_Toc516367021"/>
      <w:bookmarkStart w:id="259" w:name="_Toc164351621"/>
      <w:bookmarkStart w:id="260" w:name="_Toc142311029"/>
      <w:bookmarkStart w:id="261" w:name="_Toc150774627"/>
      <w:bookmarkStart w:id="262" w:name="_Toc264969217"/>
      <w:bookmarkStart w:id="263" w:name="_Toc151193841"/>
      <w:bookmarkStart w:id="264" w:name="_Toc127151728"/>
      <w:bookmarkStart w:id="265" w:name="_Toc195842892"/>
      <w:bookmarkStart w:id="266" w:name="_Toc305158795"/>
      <w:bookmarkStart w:id="267" w:name="_Toc164229222"/>
      <w:bookmarkStart w:id="268" w:name="_Toc150774732"/>
      <w:bookmarkStart w:id="269" w:name="_Toc520356151"/>
      <w:r>
        <w:rPr>
          <w:rFonts w:hint="eastAsia" w:ascii="宋体" w:hAnsi="宋体" w:cs="宋体"/>
          <w:sz w:val="24"/>
        </w:rPr>
        <w:t>响应范围、响应文件中计量单位的使用</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hint="eastAsia" w:ascii="宋体" w:hAnsi="宋体" w:cs="宋体"/>
          <w:sz w:val="24"/>
        </w:rPr>
        <w:t>及响应语言</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本项目如划分采购包，供应商可以对本项目的其中一个采购包进行响应，也可同时对多个采购包进行响应。供应商应当对所投采购包对应第四章《采购需求》所列的全部内容进行响应，不得将一个采购包中的内容拆开响应，否则其对该采购包的响应将被认定为</w:t>
      </w:r>
      <w:r>
        <w:rPr>
          <w:rFonts w:hint="eastAsia" w:ascii="宋体" w:hAnsi="宋体" w:cs="宋体"/>
          <w:b/>
          <w:bCs/>
          <w:sz w:val="24"/>
        </w:rPr>
        <w:t>无效响应</w:t>
      </w:r>
      <w:r>
        <w:rPr>
          <w:rFonts w:hint="eastAsia" w:ascii="宋体" w:hAnsi="宋体" w:cs="宋体"/>
          <w:sz w:val="24"/>
        </w:rPr>
        <w:t>。</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除谈判文件有特殊要求外，本项目响应所使用的计量单位，应采用中华人民共和国法定计量单位。</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除专用术语外，响应文件及来往函电均应使用中文书写。必要时专用术语应附有中文解释。供应商提交的支持资料和已印制的文献可以用外文，但相应内容应附有中文翻译本，在解释响应文件时以中文翻译本为准。未附中文翻译本或翻译本中文内容明显与外文内容不一致的，其不利后果由供应商自行承担。</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270" w:name="_Toc264969218"/>
      <w:bookmarkStart w:id="271" w:name="_Toc164229369"/>
      <w:bookmarkStart w:id="272" w:name="_Toc127151528"/>
      <w:bookmarkStart w:id="273" w:name="_Toc195842893"/>
      <w:bookmarkStart w:id="274" w:name="_Toc520356152"/>
      <w:bookmarkStart w:id="275" w:name="_Toc127151729"/>
      <w:bookmarkStart w:id="276" w:name="_Toc151193698"/>
      <w:bookmarkStart w:id="277" w:name="_Toc151193770"/>
      <w:bookmarkStart w:id="278" w:name="_Toc150480766"/>
      <w:bookmarkStart w:id="279" w:name="_Toc151193842"/>
      <w:bookmarkStart w:id="280" w:name="_Toc305158796"/>
      <w:bookmarkStart w:id="281" w:name="_Toc149720821"/>
      <w:bookmarkStart w:id="282" w:name="_Toc226337224"/>
      <w:bookmarkStart w:id="283" w:name="_Toc226965801"/>
      <w:bookmarkStart w:id="284" w:name="_Toc164229223"/>
      <w:bookmarkStart w:id="285" w:name="_Toc150774628"/>
      <w:bookmarkStart w:id="286" w:name="_Toc226309772"/>
      <w:bookmarkStart w:id="287" w:name="_Toc151193626"/>
      <w:bookmarkStart w:id="288" w:name="_Toc127161442"/>
      <w:bookmarkStart w:id="289" w:name="_Toc151190155"/>
      <w:bookmarkStart w:id="290" w:name="_Toc151193916"/>
      <w:bookmarkStart w:id="291" w:name="_Toc150509279"/>
      <w:bookmarkStart w:id="292" w:name="_Toc150774733"/>
      <w:bookmarkStart w:id="293" w:name="_Toc142311030"/>
      <w:bookmarkStart w:id="294" w:name="_Toc164608642"/>
      <w:bookmarkStart w:id="295" w:name="_Toc164608797"/>
      <w:bookmarkStart w:id="296" w:name="_Toc265228366"/>
      <w:bookmarkStart w:id="297" w:name="_Toc226965718"/>
      <w:bookmarkStart w:id="298" w:name="_Toc164351622"/>
      <w:bookmarkStart w:id="299" w:name="_Toc305158870"/>
      <w:r>
        <w:rPr>
          <w:rFonts w:hint="eastAsia" w:ascii="宋体" w:hAnsi="宋体" w:cs="宋体"/>
          <w:sz w:val="24"/>
        </w:rPr>
        <w:t>响应文件构成</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pPr>
        <w:numPr>
          <w:ilvl w:val="1"/>
          <w:numId w:val="8"/>
        </w:numPr>
        <w:tabs>
          <w:tab w:val="left" w:pos="1080"/>
          <w:tab w:val="left" w:pos="2014"/>
          <w:tab w:val="clear" w:pos="0"/>
        </w:tabs>
        <w:snapToGrid w:val="0"/>
        <w:spacing w:line="360" w:lineRule="auto"/>
        <w:ind w:left="0" w:firstLine="0"/>
        <w:rPr>
          <w:rFonts w:ascii="宋体" w:hAnsi="宋体" w:cs="宋体"/>
          <w:sz w:val="24"/>
        </w:rPr>
      </w:pPr>
      <w:bookmarkStart w:id="300" w:name="_Ref467052588"/>
      <w:r>
        <w:rPr>
          <w:rFonts w:hint="eastAsia" w:ascii="宋体" w:hAnsi="宋体" w:cs="宋体"/>
          <w:sz w:val="24"/>
        </w:rPr>
        <w:t>供应商应当按照谈判文件的要求编制响应文件。响应文件的部分格式要求，见第六章《响应文件格式》。</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kern w:val="0"/>
          <w:sz w:val="24"/>
        </w:rPr>
        <w:t>对于谈判文件中标记了“实质性格式”文件的，</w:t>
      </w:r>
      <w:r>
        <w:rPr>
          <w:rFonts w:hint="eastAsia" w:ascii="宋体" w:hAnsi="宋体" w:cs="宋体"/>
          <w:sz w:val="24"/>
        </w:rPr>
        <w:t>供应商不得改变格式中给定的文字所表达的含义，不得删减格式中的实质性内容，不得自行添加与格式中给定的文字内容相矛盾的内容，不得对应当填写的空格不填写或不实质性响应，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cs="宋体"/>
          <w:bCs/>
          <w:kern w:val="0"/>
          <w:sz w:val="24"/>
        </w:rPr>
        <w:t>否则</w:t>
      </w:r>
      <w:r>
        <w:rPr>
          <w:rFonts w:hint="eastAsia" w:ascii="宋体" w:hAnsi="宋体" w:cs="宋体"/>
          <w:b/>
          <w:kern w:val="0"/>
          <w:sz w:val="24"/>
        </w:rPr>
        <w:t>响应无效</w:t>
      </w:r>
      <w:r>
        <w:rPr>
          <w:rFonts w:hint="eastAsia" w:ascii="宋体" w:hAnsi="宋体" w:cs="宋体"/>
          <w:kern w:val="0"/>
          <w:sz w:val="24"/>
        </w:rPr>
        <w:t>。未标记“实质性格式”的文件和谈判文件未提供格式的内容，可由供应商自行编写。</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第三章《评审程序和评定成交的标准》中涉及的证明文件。</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对照第四章《采购需求》，说明所提供货物和服务已对第四章《采购需求》做出了响应，或申明与第四章《采购需求》的偏差和例外。如第四章《采购需求》中要求提供证明文件的，供应商应当按具体要求提供证明文件。</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供应商认为应附的其他材料。</w:t>
      </w:r>
      <w:bookmarkEnd w:id="300"/>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报价</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所有响应均以人民币报价。</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供应商的报价应包括为完成本项目所发生的一切费用和税费，采购人将不再支付报价以外的任何费用。供应商的报价应包括但不限于下列内容，《供应商须知资料表》中有特殊规定的，从其规定。</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响应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 xml:space="preserve">按照谈判文件要求完成本项目的全部相关工程或服务费用。 </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采购人不得向供应商索要或者接受其给予的赠品、回扣或者与采购无关的其他商品、服务。</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供应商不能提供任何有选择性或可调整的最终报价（谈判文件另有规定的除外），否则其</w:t>
      </w:r>
      <w:r>
        <w:rPr>
          <w:rFonts w:hint="eastAsia" w:ascii="宋体" w:hAnsi="宋体" w:cs="宋体"/>
          <w:b/>
          <w:bCs/>
          <w:sz w:val="24"/>
        </w:rPr>
        <w:t>响应无效</w:t>
      </w:r>
      <w:r>
        <w:rPr>
          <w:rFonts w:hint="eastAsia" w:ascii="宋体" w:hAnsi="宋体" w:cs="宋体"/>
          <w:sz w:val="24"/>
        </w:rPr>
        <w:t>。</w:t>
      </w:r>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保证金：根据江苏省和常州市的相关文件规定，免收保证金。</w:t>
      </w:r>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响应有效期</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响应文件应在本谈判文件《供应商须知资料表》中规定的响应有效期内保持有效，响应有效期少于谈判文件规定期限的，其</w:t>
      </w:r>
      <w:r>
        <w:rPr>
          <w:rFonts w:hint="eastAsia" w:ascii="宋体" w:hAnsi="宋体" w:cs="宋体"/>
          <w:b/>
          <w:sz w:val="24"/>
        </w:rPr>
        <w:t>响应无效</w:t>
      </w:r>
      <w:r>
        <w:rPr>
          <w:rFonts w:hint="eastAsia" w:ascii="宋体" w:hAnsi="宋体" w:cs="宋体"/>
          <w:sz w:val="24"/>
        </w:rPr>
        <w:t>。</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301" w:name="_Toc127161447"/>
      <w:bookmarkStart w:id="302" w:name="_Toc164351627"/>
      <w:bookmarkStart w:id="303" w:name="_Toc151190160"/>
      <w:bookmarkStart w:id="304" w:name="_Toc164229228"/>
      <w:bookmarkStart w:id="305" w:name="_Toc164608802"/>
      <w:bookmarkStart w:id="306" w:name="_Toc195842898"/>
      <w:bookmarkStart w:id="307" w:name="_Toc305158801"/>
      <w:bookmarkStart w:id="308" w:name="_Toc164229374"/>
      <w:bookmarkStart w:id="309" w:name="_Toc265228371"/>
      <w:bookmarkStart w:id="310" w:name="_Toc226337229"/>
      <w:bookmarkStart w:id="311" w:name="_Toc151193703"/>
      <w:bookmarkStart w:id="312" w:name="_Toc151193631"/>
      <w:bookmarkStart w:id="313" w:name="_Toc150774738"/>
      <w:bookmarkStart w:id="314" w:name="_Toc226309777"/>
      <w:bookmarkStart w:id="315" w:name="_Toc127151533"/>
      <w:bookmarkStart w:id="316" w:name="_Toc150774633"/>
      <w:bookmarkStart w:id="317" w:name="_Toc150480771"/>
      <w:bookmarkStart w:id="318" w:name="_Toc150509284"/>
      <w:bookmarkStart w:id="319" w:name="_Toc305158875"/>
      <w:bookmarkStart w:id="320" w:name="_Toc264969223"/>
      <w:bookmarkStart w:id="321" w:name="_Toc226965806"/>
      <w:bookmarkStart w:id="322" w:name="_Toc151193847"/>
      <w:bookmarkStart w:id="323" w:name="_Toc127151734"/>
      <w:bookmarkStart w:id="324" w:name="_Toc151193921"/>
      <w:bookmarkStart w:id="325" w:name="_Toc226965723"/>
      <w:bookmarkStart w:id="326" w:name="_Toc142311035"/>
      <w:bookmarkStart w:id="327" w:name="_Toc520356158"/>
      <w:bookmarkStart w:id="328" w:name="_Toc149720826"/>
      <w:bookmarkStart w:id="329" w:name="_Toc151193775"/>
      <w:bookmarkStart w:id="330" w:name="_Toc164608647"/>
      <w:r>
        <w:rPr>
          <w:rFonts w:hint="eastAsia" w:ascii="宋体" w:hAnsi="宋体" w:cs="宋体"/>
          <w:sz w:val="24"/>
        </w:rPr>
        <w:t>响应文件的签署</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Pr>
          <w:rFonts w:hint="eastAsia" w:ascii="宋体" w:hAnsi="宋体" w:cs="宋体"/>
          <w:sz w:val="24"/>
        </w:rPr>
        <w:t>、盖章</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bookmarkStart w:id="331" w:name="_Toc151193922"/>
      <w:bookmarkStart w:id="332" w:name="_Toc127151534"/>
      <w:bookmarkStart w:id="333" w:name="_Toc151190161"/>
      <w:bookmarkStart w:id="334" w:name="_Toc226309778"/>
      <w:bookmarkStart w:id="335" w:name="_Toc195842899"/>
      <w:bookmarkStart w:id="336" w:name="_Toc264969224"/>
      <w:bookmarkStart w:id="337" w:name="_Toc151193632"/>
      <w:bookmarkStart w:id="338" w:name="_Toc142311036"/>
      <w:bookmarkStart w:id="339" w:name="_Toc305158802"/>
      <w:bookmarkStart w:id="340" w:name="_Toc151193704"/>
      <w:bookmarkStart w:id="341" w:name="_Toc265228372"/>
      <w:bookmarkStart w:id="342" w:name="_Toc150774739"/>
      <w:bookmarkStart w:id="343" w:name="_Toc226965724"/>
      <w:bookmarkStart w:id="344" w:name="_Toc226337230"/>
      <w:bookmarkStart w:id="345" w:name="_Toc150480772"/>
      <w:bookmarkStart w:id="346" w:name="_Toc150509285"/>
      <w:bookmarkStart w:id="347" w:name="_Toc150774634"/>
      <w:bookmarkStart w:id="348" w:name="_Toc305158876"/>
      <w:bookmarkStart w:id="349" w:name="_Toc520356159"/>
      <w:bookmarkStart w:id="350" w:name="_Toc151193776"/>
      <w:bookmarkStart w:id="351" w:name="_Toc151193848"/>
      <w:bookmarkStart w:id="352" w:name="_Toc226965807"/>
      <w:r>
        <w:rPr>
          <w:rFonts w:hint="eastAsia" w:ascii="宋体" w:hAnsi="宋体" w:cs="宋体"/>
          <w:sz w:val="24"/>
        </w:rPr>
        <w:t>响应文件的正本和副本均需打印或使用不褪色的蓝、黑墨水笔书写，字迹应清晰易于辨认，并应在响应文件封面的右上角清楚地注明“正本”或“副本”。正本和副本如有不一致之处，以正本为准。</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响应文件由响应人按谈判文件规定的格式如实填写（编写），须有法人、法定代表人或法定代表人授权代表签字（盖章），方为有效。副本可通过正本复印并在规定地方加盖公章。</w:t>
      </w:r>
    </w:p>
    <w:p>
      <w:pPr>
        <w:tabs>
          <w:tab w:val="left" w:pos="900"/>
          <w:tab w:val="left" w:pos="1080"/>
        </w:tabs>
        <w:snapToGrid w:val="0"/>
        <w:spacing w:line="360" w:lineRule="auto"/>
        <w:rPr>
          <w:rFonts w:ascii="宋体" w:hAnsi="宋体" w:cs="宋体"/>
          <w:sz w:val="24"/>
        </w:rPr>
      </w:pPr>
    </w:p>
    <w:p>
      <w:pPr>
        <w:pStyle w:val="4"/>
        <w:spacing w:before="0" w:line="360" w:lineRule="auto"/>
        <w:jc w:val="both"/>
        <w:rPr>
          <w:rFonts w:ascii="宋体" w:hAnsi="宋体" w:eastAsia="宋体" w:cs="宋体"/>
          <w:sz w:val="24"/>
          <w:szCs w:val="24"/>
        </w:rPr>
      </w:pPr>
      <w:r>
        <w:rPr>
          <w:rFonts w:hint="eastAsia" w:ascii="宋体" w:hAnsi="宋体" w:eastAsia="宋体" w:cs="宋体"/>
          <w:sz w:val="24"/>
          <w:szCs w:val="24"/>
        </w:rPr>
        <w:t>四   响应文件的提交</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353" w:name="_Toc305158877"/>
      <w:bookmarkStart w:id="354" w:name="_Toc127151535"/>
      <w:bookmarkStart w:id="355" w:name="_Toc226965725"/>
      <w:bookmarkStart w:id="356" w:name="_Toc164608649"/>
      <w:bookmarkStart w:id="357" w:name="_Toc150774635"/>
      <w:bookmarkStart w:id="358" w:name="_Toc164229230"/>
      <w:bookmarkStart w:id="359" w:name="_Toc150774740"/>
      <w:bookmarkStart w:id="360" w:name="_Toc151190162"/>
      <w:bookmarkStart w:id="361" w:name="_Toc226337231"/>
      <w:bookmarkStart w:id="362" w:name="_Toc142311037"/>
      <w:bookmarkStart w:id="363" w:name="_Toc164229376"/>
      <w:bookmarkStart w:id="364" w:name="_Toc151193777"/>
      <w:bookmarkStart w:id="365" w:name="_Toc149720828"/>
      <w:bookmarkStart w:id="366" w:name="_Toc265228373"/>
      <w:bookmarkStart w:id="367" w:name="_Toc127151736"/>
      <w:bookmarkStart w:id="368" w:name="_Toc164351629"/>
      <w:bookmarkStart w:id="369" w:name="_Toc226965808"/>
      <w:bookmarkStart w:id="370" w:name="_Toc151193633"/>
      <w:bookmarkStart w:id="371" w:name="_Toc127161449"/>
      <w:bookmarkStart w:id="372" w:name="_Toc264969225"/>
      <w:bookmarkStart w:id="373" w:name="_Toc151193849"/>
      <w:bookmarkStart w:id="374" w:name="_Toc151193923"/>
      <w:bookmarkStart w:id="375" w:name="_Toc151193705"/>
      <w:bookmarkStart w:id="376" w:name="_Toc226309779"/>
      <w:bookmarkStart w:id="377" w:name="_Toc150480773"/>
      <w:bookmarkStart w:id="378" w:name="_Toc150509286"/>
      <w:bookmarkStart w:id="379" w:name="_Toc520356160"/>
      <w:bookmarkStart w:id="380" w:name="_Toc305158803"/>
      <w:bookmarkStart w:id="381" w:name="_Toc195842900"/>
      <w:bookmarkStart w:id="382" w:name="_Toc164608804"/>
      <w:r>
        <w:rPr>
          <w:rFonts w:hint="eastAsia" w:ascii="宋体" w:hAnsi="宋体" w:cs="宋体"/>
          <w:sz w:val="24"/>
        </w:rPr>
        <w:t>响应文件的</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Pr>
          <w:rFonts w:hint="eastAsia" w:ascii="宋体" w:hAnsi="宋体" w:cs="宋体"/>
          <w:sz w:val="24"/>
        </w:rPr>
        <w:t>提交</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响应人须在采购公告规定的响应文件提交截止时间之前在指定地点将响应文件提交给代理机构。</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383" w:name="_Toc142311038"/>
      <w:bookmarkStart w:id="384" w:name="_Toc226965809"/>
      <w:bookmarkStart w:id="385" w:name="_Toc151193706"/>
      <w:bookmarkStart w:id="386" w:name="_Toc151190163"/>
      <w:bookmarkStart w:id="387" w:name="_Toc150509287"/>
      <w:bookmarkStart w:id="388" w:name="_Toc164351630"/>
      <w:bookmarkStart w:id="389" w:name="_Toc305158878"/>
      <w:bookmarkStart w:id="390" w:name="_Toc151193924"/>
      <w:bookmarkStart w:id="391" w:name="_Toc264969226"/>
      <w:bookmarkStart w:id="392" w:name="_Toc151193634"/>
      <w:bookmarkStart w:id="393" w:name="_Toc164608805"/>
      <w:bookmarkStart w:id="394" w:name="_Toc520356161"/>
      <w:bookmarkStart w:id="395" w:name="_Toc127161450"/>
      <w:bookmarkStart w:id="396" w:name="_Toc164229231"/>
      <w:bookmarkStart w:id="397" w:name="_Toc151193850"/>
      <w:bookmarkStart w:id="398" w:name="_Toc226337232"/>
      <w:bookmarkStart w:id="399" w:name="_Toc127151536"/>
      <w:bookmarkStart w:id="400" w:name="_Toc164608650"/>
      <w:bookmarkStart w:id="401" w:name="_Toc149720829"/>
      <w:bookmarkStart w:id="402" w:name="_Toc150480774"/>
      <w:bookmarkStart w:id="403" w:name="_Toc265228374"/>
      <w:bookmarkStart w:id="404" w:name="_Toc226965726"/>
      <w:bookmarkStart w:id="405" w:name="_Toc164229377"/>
      <w:bookmarkStart w:id="406" w:name="_Toc151193778"/>
      <w:bookmarkStart w:id="407" w:name="_Toc226309780"/>
      <w:bookmarkStart w:id="408" w:name="_Toc127151737"/>
      <w:bookmarkStart w:id="409" w:name="_Toc195842901"/>
      <w:bookmarkStart w:id="410" w:name="_Toc150774741"/>
      <w:bookmarkStart w:id="411" w:name="_Toc150774636"/>
      <w:bookmarkStart w:id="412" w:name="_Toc305158804"/>
      <w:r>
        <w:rPr>
          <w:rFonts w:hint="eastAsia" w:ascii="宋体" w:hAnsi="宋体" w:cs="宋体"/>
          <w:sz w:val="24"/>
        </w:rPr>
        <w:t>提交响应截止</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hint="eastAsia" w:ascii="宋体" w:hAnsi="宋体" w:cs="宋体"/>
          <w:sz w:val="24"/>
        </w:rPr>
        <w:t>时间</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响应人须在采购公告规定的响应文件提交截止时间之前在指定地点将响应文件提交给代理机构。</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413" w:name="_Toc150509288"/>
      <w:bookmarkStart w:id="414" w:name="_Toc142311039"/>
      <w:bookmarkStart w:id="415" w:name="_Toc151193851"/>
      <w:bookmarkStart w:id="416" w:name="_Toc226965810"/>
      <w:bookmarkStart w:id="417" w:name="_Toc164608651"/>
      <w:bookmarkStart w:id="418" w:name="_Toc127161451"/>
      <w:bookmarkStart w:id="419" w:name="_Toc151193779"/>
      <w:bookmarkStart w:id="420" w:name="_Toc150774637"/>
      <w:bookmarkStart w:id="421" w:name="_Toc164229378"/>
      <w:bookmarkStart w:id="422" w:name="_Toc305158879"/>
      <w:bookmarkStart w:id="423" w:name="_Toc195842902"/>
      <w:bookmarkStart w:id="424" w:name="_Toc127151537"/>
      <w:bookmarkStart w:id="425" w:name="_Toc150480775"/>
      <w:bookmarkStart w:id="426" w:name="_Toc164229232"/>
      <w:bookmarkStart w:id="427" w:name="_Toc305158805"/>
      <w:bookmarkStart w:id="428" w:name="_Toc226965727"/>
      <w:bookmarkStart w:id="429" w:name="_Toc226337233"/>
      <w:bookmarkStart w:id="430" w:name="_Toc264969227"/>
      <w:bookmarkStart w:id="431" w:name="_Toc150774742"/>
      <w:bookmarkStart w:id="432" w:name="_Toc151190164"/>
      <w:bookmarkStart w:id="433" w:name="_Toc151193635"/>
      <w:bookmarkStart w:id="434" w:name="_Toc151193707"/>
      <w:bookmarkStart w:id="435" w:name="_Toc265228375"/>
      <w:bookmarkStart w:id="436" w:name="_Toc127151738"/>
      <w:bookmarkStart w:id="437" w:name="_Toc164351631"/>
      <w:bookmarkStart w:id="438" w:name="_Toc149720830"/>
      <w:bookmarkStart w:id="439" w:name="_Toc226309781"/>
      <w:bookmarkStart w:id="440" w:name="_Toc151193925"/>
      <w:bookmarkStart w:id="441" w:name="_Toc164608806"/>
      <w:bookmarkStart w:id="442" w:name="_Toc520356162"/>
      <w:r>
        <w:rPr>
          <w:rFonts w:hint="eastAsia" w:ascii="宋体" w:hAnsi="宋体" w:cs="宋体"/>
          <w:sz w:val="24"/>
        </w:rPr>
        <w:t>响应文件的修改与撤回</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在响应文件提交截止时间之前，响应人可以对所提交的响应文件进行修改和撤回，但所提交的修改或撤回通知必须按竞争性谈判文件的规定进行编制、密封、标志（在包封上标明“修改”或“撤回”字样，并注明修改或撤回的时间）和提交。响应文件提交截止时间之后，响应人不得修改或撤回响应文件。</w:t>
      </w:r>
    </w:p>
    <w:p>
      <w:pPr>
        <w:spacing w:line="360" w:lineRule="auto"/>
        <w:rPr>
          <w:rFonts w:ascii="宋体" w:hAnsi="宋体" w:cs="宋体"/>
          <w:sz w:val="24"/>
        </w:rPr>
      </w:pPr>
    </w:p>
    <w:p>
      <w:pPr>
        <w:pStyle w:val="4"/>
        <w:spacing w:before="0" w:line="360" w:lineRule="auto"/>
        <w:jc w:val="both"/>
        <w:rPr>
          <w:rFonts w:ascii="宋体" w:hAnsi="宋体" w:eastAsia="宋体" w:cs="宋体"/>
          <w:sz w:val="24"/>
          <w:szCs w:val="24"/>
        </w:rPr>
      </w:pPr>
      <w:bookmarkStart w:id="443" w:name="_Toc151193708"/>
      <w:bookmarkStart w:id="444" w:name="_Toc142311040"/>
      <w:bookmarkStart w:id="445" w:name="_Toc151190165"/>
      <w:bookmarkStart w:id="446" w:name="_Toc226965728"/>
      <w:bookmarkStart w:id="447" w:name="_Toc150480776"/>
      <w:bookmarkStart w:id="448" w:name="_Toc305158880"/>
      <w:bookmarkStart w:id="449" w:name="_Toc150509289"/>
      <w:bookmarkStart w:id="450" w:name="_Toc264969228"/>
      <w:bookmarkStart w:id="451" w:name="_Toc195842903"/>
      <w:bookmarkStart w:id="452" w:name="_Toc151193636"/>
      <w:bookmarkStart w:id="453" w:name="_Toc151193926"/>
      <w:bookmarkStart w:id="454" w:name="_Toc226965811"/>
      <w:bookmarkStart w:id="455" w:name="_Toc226309782"/>
      <w:bookmarkStart w:id="456" w:name="_Toc151193780"/>
      <w:bookmarkStart w:id="457" w:name="_Toc151193852"/>
      <w:bookmarkStart w:id="458" w:name="_Toc150774743"/>
      <w:bookmarkStart w:id="459" w:name="_Toc150774638"/>
      <w:bookmarkStart w:id="460" w:name="_Toc265228376"/>
      <w:bookmarkStart w:id="461" w:name="_Toc305158806"/>
      <w:bookmarkStart w:id="462" w:name="_Toc127151538"/>
      <w:bookmarkStart w:id="463" w:name="_Toc226337234"/>
      <w:bookmarkStart w:id="464" w:name="_Toc520356163"/>
      <w:r>
        <w:rPr>
          <w:rFonts w:hint="eastAsia" w:ascii="宋体" w:hAnsi="宋体" w:eastAsia="宋体" w:cs="宋体"/>
          <w:sz w:val="24"/>
          <w:szCs w:val="24"/>
        </w:rPr>
        <w:t xml:space="preserve">五   </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Start w:id="465" w:name="_Hlk97413571"/>
      <w:r>
        <w:rPr>
          <w:rFonts w:hint="eastAsia" w:ascii="宋体" w:hAnsi="宋体" w:eastAsia="宋体" w:cs="宋体"/>
          <w:sz w:val="24"/>
          <w:szCs w:val="24"/>
        </w:rPr>
        <w:t>评审</w:t>
      </w:r>
      <w:bookmarkEnd w:id="465"/>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466" w:name="_Toc226965730"/>
      <w:bookmarkStart w:id="467" w:name="_Toc164608654"/>
      <w:bookmarkStart w:id="468" w:name="_Toc164229235"/>
      <w:bookmarkStart w:id="469" w:name="_Toc164608809"/>
      <w:bookmarkStart w:id="470" w:name="_Toc150774745"/>
      <w:bookmarkStart w:id="471" w:name="_Toc150509291"/>
      <w:bookmarkStart w:id="472" w:name="_Toc305158808"/>
      <w:bookmarkStart w:id="473" w:name="_Toc127151540"/>
      <w:bookmarkStart w:id="474" w:name="_Toc151193928"/>
      <w:bookmarkStart w:id="475" w:name="_Toc150774640"/>
      <w:bookmarkStart w:id="476" w:name="_Toc151193782"/>
      <w:bookmarkStart w:id="477" w:name="_Toc151193638"/>
      <w:bookmarkStart w:id="478" w:name="_Toc264969230"/>
      <w:bookmarkStart w:id="479" w:name="_Toc127161454"/>
      <w:bookmarkStart w:id="480" w:name="_Toc149720833"/>
      <w:bookmarkStart w:id="481" w:name="_Toc226337236"/>
      <w:bookmarkStart w:id="482" w:name="_Toc195842905"/>
      <w:bookmarkStart w:id="483" w:name="_Toc164229381"/>
      <w:bookmarkStart w:id="484" w:name="_Toc151193710"/>
      <w:bookmarkStart w:id="485" w:name="_Toc164351634"/>
      <w:bookmarkStart w:id="486" w:name="_Toc265228378"/>
      <w:bookmarkStart w:id="487" w:name="_Toc151190167"/>
      <w:bookmarkStart w:id="488" w:name="_Toc305158882"/>
      <w:bookmarkStart w:id="489" w:name="_Toc127151741"/>
      <w:bookmarkStart w:id="490" w:name="_Toc226309784"/>
      <w:bookmarkStart w:id="491" w:name="_Toc226965813"/>
      <w:bookmarkStart w:id="492" w:name="_Toc151193854"/>
      <w:bookmarkStart w:id="493" w:name="_Toc142311042"/>
      <w:bookmarkStart w:id="494" w:name="_Toc150480778"/>
      <w:r>
        <w:rPr>
          <w:rFonts w:hint="eastAsia" w:ascii="宋体" w:hAnsi="宋体" w:cs="宋体"/>
          <w:sz w:val="24"/>
        </w:rPr>
        <w:t>谈判小组</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谈判小组根据政府采购有关规定和本次竞争性谈判采购项目的特点进行组建，并负责具体评审与谈判事务，独立履行职责。</w:t>
      </w:r>
      <w:bookmarkStart w:id="495" w:name="_Toc520356166"/>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评审专家须符合相关规定。依法自行选定评审专家的，采购人和采购代理机构将查询有关信用记录，对具有行贿、受贿、欺诈等不良信用记录的人员，拒绝其参与政府采购活动。</w:t>
      </w:r>
      <w:bookmarkEnd w:id="495"/>
      <w:bookmarkStart w:id="496" w:name="_Toc520356169"/>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497" w:name="_Hlk97413435"/>
      <w:r>
        <w:rPr>
          <w:rFonts w:hint="eastAsia" w:ascii="宋体" w:hAnsi="宋体" w:cs="宋体"/>
          <w:sz w:val="24"/>
        </w:rPr>
        <w:t>评审程序和评定成交的标准</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bookmarkStart w:id="498" w:name="_Toc83547671"/>
      <w:r>
        <w:rPr>
          <w:rFonts w:hint="eastAsia" w:ascii="宋体" w:hAnsi="宋体" w:cs="宋体"/>
          <w:sz w:val="24"/>
        </w:rPr>
        <w:t>见第三章《评审程序和评定成交的标准》。</w:t>
      </w:r>
    </w:p>
    <w:bookmarkEnd w:id="497"/>
    <w:bookmarkEnd w:id="498"/>
    <w:p>
      <w:pPr>
        <w:tabs>
          <w:tab w:val="left" w:pos="360"/>
          <w:tab w:val="left" w:pos="1080"/>
        </w:tabs>
        <w:snapToGrid w:val="0"/>
        <w:spacing w:line="360" w:lineRule="auto"/>
        <w:rPr>
          <w:rFonts w:ascii="宋体" w:hAnsi="宋体" w:cs="宋体"/>
          <w:sz w:val="24"/>
        </w:rPr>
      </w:pPr>
    </w:p>
    <w:p>
      <w:pPr>
        <w:pStyle w:val="4"/>
        <w:spacing w:before="0" w:line="360" w:lineRule="auto"/>
        <w:jc w:val="both"/>
        <w:rPr>
          <w:rFonts w:ascii="宋体" w:hAnsi="宋体" w:eastAsia="宋体" w:cs="宋体"/>
          <w:sz w:val="24"/>
          <w:szCs w:val="24"/>
        </w:rPr>
      </w:pPr>
      <w:bookmarkStart w:id="499" w:name="_Toc195842910"/>
      <w:bookmarkStart w:id="500" w:name="_Toc226965735"/>
      <w:bookmarkStart w:id="501" w:name="_Toc150774750"/>
      <w:bookmarkStart w:id="502" w:name="_Toc305158813"/>
      <w:bookmarkStart w:id="503" w:name="_Toc151193787"/>
      <w:bookmarkStart w:id="504" w:name="_Toc226337241"/>
      <w:bookmarkStart w:id="505" w:name="_Toc150509296"/>
      <w:bookmarkStart w:id="506" w:name="_Toc150774645"/>
      <w:bookmarkStart w:id="507" w:name="_Toc226965818"/>
      <w:bookmarkStart w:id="508" w:name="_Toc127151545"/>
      <w:bookmarkStart w:id="509" w:name="_Toc151193643"/>
      <w:bookmarkStart w:id="510" w:name="_Toc226309789"/>
      <w:bookmarkStart w:id="511" w:name="_Toc151190172"/>
      <w:bookmarkStart w:id="512" w:name="_Toc264969235"/>
      <w:bookmarkStart w:id="513" w:name="_Toc151193715"/>
      <w:bookmarkStart w:id="514" w:name="_Toc150480783"/>
      <w:bookmarkStart w:id="515" w:name="_Toc265228383"/>
      <w:bookmarkStart w:id="516" w:name="_Toc305158887"/>
      <w:bookmarkStart w:id="517" w:name="_Toc151193859"/>
      <w:bookmarkStart w:id="518" w:name="_Toc142311047"/>
      <w:bookmarkStart w:id="519" w:name="_Toc151193933"/>
      <w:r>
        <w:rPr>
          <w:rFonts w:hint="eastAsia" w:ascii="宋体" w:hAnsi="宋体" w:eastAsia="宋体" w:cs="宋体"/>
          <w:sz w:val="24"/>
          <w:szCs w:val="24"/>
        </w:rPr>
        <w:t xml:space="preserve">六   </w:t>
      </w:r>
      <w:bookmarkEnd w:id="496"/>
      <w:r>
        <w:rPr>
          <w:rFonts w:hint="eastAsia" w:ascii="宋体" w:hAnsi="宋体" w:eastAsia="宋体" w:cs="宋体"/>
          <w:sz w:val="24"/>
          <w:szCs w:val="24"/>
        </w:rPr>
        <w:t>确定</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Pr>
          <w:rFonts w:hint="eastAsia" w:ascii="宋体" w:hAnsi="宋体" w:eastAsia="宋体" w:cs="宋体"/>
          <w:sz w:val="24"/>
          <w:szCs w:val="24"/>
        </w:rPr>
        <w:t>成交</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520" w:name="_Toc305158815"/>
      <w:bookmarkStart w:id="521" w:name="_Toc150774647"/>
      <w:bookmarkStart w:id="522" w:name="_Toc164608816"/>
      <w:bookmarkStart w:id="523" w:name="_Toc127161461"/>
      <w:bookmarkStart w:id="524" w:name="_Toc151193645"/>
      <w:bookmarkStart w:id="525" w:name="_Toc305158889"/>
      <w:bookmarkStart w:id="526" w:name="_Toc226337243"/>
      <w:bookmarkStart w:id="527" w:name="_Toc226309791"/>
      <w:bookmarkStart w:id="528" w:name="_Toc150774752"/>
      <w:bookmarkStart w:id="529" w:name="_Toc151193717"/>
      <w:bookmarkStart w:id="530" w:name="_Toc164229388"/>
      <w:bookmarkStart w:id="531" w:name="_Toc149720840"/>
      <w:bookmarkStart w:id="532" w:name="_Toc226965820"/>
      <w:bookmarkStart w:id="533" w:name="_Toc265228385"/>
      <w:bookmarkStart w:id="534" w:name="_Toc226965737"/>
      <w:bookmarkStart w:id="535" w:name="_Toc164608661"/>
      <w:bookmarkStart w:id="536" w:name="_Toc151193861"/>
      <w:bookmarkStart w:id="537" w:name="_Toc151193935"/>
      <w:bookmarkStart w:id="538" w:name="_Toc127151547"/>
      <w:bookmarkStart w:id="539" w:name="_Toc151193789"/>
      <w:bookmarkStart w:id="540" w:name="_Toc150509298"/>
      <w:bookmarkStart w:id="541" w:name="_Toc151190174"/>
      <w:bookmarkStart w:id="542" w:name="_Toc150480785"/>
      <w:bookmarkStart w:id="543" w:name="_Toc164351641"/>
      <w:bookmarkStart w:id="544" w:name="_Toc127151748"/>
      <w:bookmarkStart w:id="545" w:name="_Toc264969237"/>
      <w:bookmarkStart w:id="546" w:name="_Toc142311049"/>
      <w:bookmarkStart w:id="547" w:name="_Toc164229242"/>
      <w:bookmarkStart w:id="548" w:name="_Toc195842912"/>
      <w:r>
        <w:rPr>
          <w:rFonts w:hint="eastAsia" w:ascii="宋体" w:hAnsi="宋体" w:cs="宋体"/>
          <w:sz w:val="24"/>
        </w:rPr>
        <w:t>确定成交供应商</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color w:val="000000"/>
          <w:sz w:val="24"/>
        </w:rPr>
        <w:t>采购人将从评审报告提出的成交候选人中，根据质量和服务均能满足采购文件实质性响应要求且最终报价最低的原则确定成交供应商。</w:t>
      </w:r>
      <w:r>
        <w:rPr>
          <w:rFonts w:hint="eastAsia" w:ascii="宋体" w:hAnsi="宋体" w:cs="宋体"/>
          <w:sz w:val="24"/>
        </w:rPr>
        <w:t>成交候选人并列的，由采购人依法确定。</w:t>
      </w:r>
    </w:p>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549" w:name="_Toc305158891"/>
      <w:bookmarkStart w:id="550" w:name="_Toc305158817"/>
      <w:bookmarkStart w:id="551" w:name="_Toc127151750"/>
      <w:bookmarkStart w:id="552" w:name="_Toc265228387"/>
      <w:bookmarkStart w:id="553" w:name="_Toc226965822"/>
      <w:bookmarkStart w:id="554" w:name="_Toc164608663"/>
      <w:bookmarkStart w:id="555" w:name="_Toc264969239"/>
      <w:bookmarkStart w:id="556" w:name="_Toc150480787"/>
      <w:bookmarkStart w:id="557" w:name="_Toc127151549"/>
      <w:bookmarkStart w:id="558" w:name="_Toc142311051"/>
      <w:bookmarkStart w:id="559" w:name="_Toc164229244"/>
      <w:bookmarkStart w:id="560" w:name="_Toc226965739"/>
      <w:bookmarkStart w:id="561" w:name="_Toc150509300"/>
      <w:bookmarkStart w:id="562" w:name="_Toc151193719"/>
      <w:bookmarkStart w:id="563" w:name="_Toc151193863"/>
      <w:bookmarkStart w:id="564" w:name="_Toc149720842"/>
      <w:bookmarkStart w:id="565" w:name="_Toc127161463"/>
      <w:bookmarkStart w:id="566" w:name="_Toc151193937"/>
      <w:bookmarkStart w:id="567" w:name="_Toc150774649"/>
      <w:bookmarkStart w:id="568" w:name="_Toc226337245"/>
      <w:bookmarkStart w:id="569" w:name="_Toc195842914"/>
      <w:bookmarkStart w:id="570" w:name="_Toc150774754"/>
      <w:bookmarkStart w:id="571" w:name="_Toc164608818"/>
      <w:bookmarkStart w:id="572" w:name="_Toc151193647"/>
      <w:bookmarkStart w:id="573" w:name="_Toc164351643"/>
      <w:bookmarkStart w:id="574" w:name="_Toc151190176"/>
      <w:bookmarkStart w:id="575" w:name="_Toc226309793"/>
      <w:bookmarkStart w:id="576" w:name="_Toc164229390"/>
      <w:bookmarkStart w:id="577" w:name="_Toc151193791"/>
      <w:bookmarkStart w:id="578" w:name="_Ref467306425"/>
      <w:bookmarkStart w:id="579" w:name="_Toc520356176"/>
      <w:bookmarkStart w:id="580" w:name="_Ref467307090"/>
      <w:r>
        <w:rPr>
          <w:rFonts w:hint="eastAsia" w:ascii="宋体" w:hAnsi="宋体" w:cs="宋体"/>
          <w:sz w:val="24"/>
        </w:rPr>
        <w:t>成交公告与成交通知书</w:t>
      </w:r>
      <w:bookmarkEnd w:id="549"/>
      <w:bookmarkEnd w:id="550"/>
    </w:p>
    <w:p>
      <w:pPr>
        <w:numPr>
          <w:ilvl w:val="1"/>
          <w:numId w:val="8"/>
        </w:numPr>
        <w:tabs>
          <w:tab w:val="left" w:pos="1080"/>
          <w:tab w:val="left" w:pos="2014"/>
          <w:tab w:val="clear" w:pos="0"/>
        </w:tabs>
        <w:snapToGrid w:val="0"/>
        <w:spacing w:line="360" w:lineRule="auto"/>
        <w:ind w:left="0" w:firstLine="0"/>
        <w:rPr>
          <w:rFonts w:ascii="宋体" w:hAnsi="宋体" w:cs="宋体"/>
          <w:color w:val="000000"/>
          <w:sz w:val="24"/>
        </w:rPr>
      </w:pPr>
      <w:r>
        <w:rPr>
          <w:rFonts w:hint="eastAsia" w:ascii="宋体" w:hAnsi="宋体" w:cs="宋体"/>
          <w:color w:val="000000"/>
          <w:sz w:val="24"/>
        </w:rPr>
        <w:t>采购人或采购代理机构自成交供应商确定后2个工作日内，在</w:t>
      </w:r>
      <w:r>
        <w:rPr>
          <w:rFonts w:hint="eastAsia" w:ascii="宋体" w:hAnsi="宋体" w:cs="宋体"/>
          <w:sz w:val="24"/>
        </w:rPr>
        <w:t>常州市政府采购网</w:t>
      </w:r>
      <w:r>
        <w:rPr>
          <w:rFonts w:hint="eastAsia" w:ascii="宋体" w:hAnsi="宋体" w:cs="宋体"/>
          <w:color w:val="000000"/>
          <w:sz w:val="24"/>
        </w:rPr>
        <w:t>公告成交结果，同时向成交供应商发出成交通知书，成交公告期限为1个工作日。</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成交通知书对采购人和成交供应商具有同等法律效力。成交通知书发出后，采购人改变成交结果的，或者成交供应商放弃成交项目的，应当依法承担法律责任。</w:t>
      </w:r>
    </w:p>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Pr>
        <w:numPr>
          <w:ilvl w:val="0"/>
          <w:numId w:val="8"/>
        </w:numPr>
        <w:tabs>
          <w:tab w:val="left" w:pos="360"/>
          <w:tab w:val="clear" w:pos="0"/>
        </w:tabs>
        <w:snapToGrid w:val="0"/>
        <w:spacing w:line="360" w:lineRule="auto"/>
        <w:ind w:left="0" w:firstLine="0"/>
        <w:outlineLvl w:val="1"/>
        <w:rPr>
          <w:rFonts w:ascii="宋体" w:hAnsi="宋体" w:cs="宋体"/>
          <w:sz w:val="24"/>
        </w:rPr>
      </w:pPr>
      <w:bookmarkStart w:id="581" w:name="_Toc127161464"/>
      <w:bookmarkStart w:id="582" w:name="_Toc151193792"/>
      <w:bookmarkStart w:id="583" w:name="_Toc264969240"/>
      <w:bookmarkStart w:id="584" w:name="_Toc265228388"/>
      <w:bookmarkStart w:id="585" w:name="_Toc142311052"/>
      <w:bookmarkStart w:id="586" w:name="_Toc305158892"/>
      <w:bookmarkStart w:id="587" w:name="_Toc164608664"/>
      <w:bookmarkStart w:id="588" w:name="_Toc150480788"/>
      <w:bookmarkStart w:id="589" w:name="_Toc150774650"/>
      <w:bookmarkStart w:id="590" w:name="_Ref467307062"/>
      <w:bookmarkStart w:id="591" w:name="_Toc150509301"/>
      <w:bookmarkStart w:id="592" w:name="_Toc164229245"/>
      <w:bookmarkStart w:id="593" w:name="_Toc520356175"/>
      <w:bookmarkStart w:id="594" w:name="_Toc226337246"/>
      <w:bookmarkStart w:id="595" w:name="_Toc195842915"/>
      <w:bookmarkStart w:id="596" w:name="_Toc151193648"/>
      <w:bookmarkStart w:id="597" w:name="_Toc226965740"/>
      <w:bookmarkStart w:id="598" w:name="_Toc149720843"/>
      <w:bookmarkStart w:id="599" w:name="_Toc151193720"/>
      <w:bookmarkStart w:id="600" w:name="_Ref467306978"/>
      <w:bookmarkStart w:id="601" w:name="_Toc226965823"/>
      <w:bookmarkStart w:id="602" w:name="_Toc151193864"/>
      <w:bookmarkStart w:id="603" w:name="_Toc127151751"/>
      <w:bookmarkStart w:id="604" w:name="_Toc164351644"/>
      <w:bookmarkStart w:id="605" w:name="_Toc150774755"/>
      <w:bookmarkStart w:id="606" w:name="_Toc164229391"/>
      <w:bookmarkStart w:id="607" w:name="_Toc127151550"/>
      <w:bookmarkStart w:id="608" w:name="_Toc164608819"/>
      <w:bookmarkStart w:id="609" w:name="_Toc226309794"/>
      <w:bookmarkStart w:id="610" w:name="_Toc151193938"/>
      <w:bookmarkStart w:id="611" w:name="_Ref467307204"/>
      <w:bookmarkStart w:id="612" w:name="_Ref467306377"/>
      <w:bookmarkStart w:id="613" w:name="_Toc305158818"/>
      <w:bookmarkStart w:id="614" w:name="_Toc151190177"/>
      <w:r>
        <w:rPr>
          <w:rFonts w:hint="eastAsia" w:ascii="宋体" w:hAnsi="宋体" w:cs="宋体"/>
          <w:sz w:val="24"/>
        </w:rPr>
        <w:t>终止</w:t>
      </w:r>
    </w:p>
    <w:p>
      <w:pPr>
        <w:numPr>
          <w:ilvl w:val="1"/>
          <w:numId w:val="8"/>
        </w:numPr>
        <w:tabs>
          <w:tab w:val="left" w:pos="1080"/>
          <w:tab w:val="left" w:pos="2014"/>
          <w:tab w:val="clear" w:pos="0"/>
        </w:tabs>
        <w:snapToGrid w:val="0"/>
        <w:spacing w:line="360" w:lineRule="auto"/>
        <w:ind w:left="0" w:firstLine="0"/>
        <w:rPr>
          <w:rFonts w:ascii="宋体" w:hAnsi="宋体" w:cs="宋体"/>
          <w:color w:val="000000"/>
          <w:sz w:val="24"/>
        </w:rPr>
      </w:pPr>
      <w:r>
        <w:rPr>
          <w:rFonts w:hint="eastAsia" w:ascii="宋体" w:hAnsi="宋体" w:cs="宋体"/>
          <w:color w:val="000000"/>
          <w:sz w:val="24"/>
        </w:rPr>
        <w:t>出现下列情形之一的，采购人或采购代理机构应当终止竞争性谈判采购活动，发布项目终止公告并说明原因，重新开展采购活动：</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因情况变化，不再符合规定的竞争性谈判采购方式适用情形的；</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出现影响采购公正的违法、违规行为的；</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在采购过程中符合竞争要求的供应商或者报价未超过采购预算的供应商不足3家的，但公开招标的货物、服务采购项目，经财政部门批准后可以与两家供应商进行竞争性谈判采购的情形除外。</w:t>
      </w:r>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签订合同</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采购人与成交供应商将在成交通知书发出之日起30日内，按照谈判文件确定的合同文本以及采购标的、规格型号、采购金额、采购数量、技术和服务要求等事项签订政府采购合同。</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成交供应商拒绝签订政府采购合同的，采购人可以按照评审报告推荐的成交候选人名单排序，确定下一候选人为成交供应商，也可以重新开展采购活动。拒绝签订政府采购合同的成交供应商不得参加对该项目重新开展的采购活动。</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联合体成交的，联合体各方应当共同与采购人签订合同，就成交项目向采购人承担连带责任。</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政府采购合同不能转包。</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采购人允许采用分包方式履行合同的，成交供应商可以依法采取分包方式履行合同。本项目是否允许分包，见《供应商须知资料表》。政府采购合同分包履行的，应当在响应文件中载明分包承担主体，分包承担主体应当具备相应资质条件且不得再次分包，否则</w:t>
      </w:r>
      <w:r>
        <w:rPr>
          <w:rFonts w:hint="eastAsia" w:ascii="宋体" w:hAnsi="宋体" w:cs="宋体"/>
          <w:b/>
          <w:bCs/>
          <w:sz w:val="24"/>
        </w:rPr>
        <w:t>响应无效</w:t>
      </w:r>
      <w:r>
        <w:rPr>
          <w:rFonts w:hint="eastAsia" w:ascii="宋体" w:hAnsi="宋体" w:cs="宋体"/>
          <w:sz w:val="24"/>
        </w:rPr>
        <w:t>。成交供应商就采购项目和分包项目向采购人负责，分包供应商就分包项目承担责任。</w:t>
      </w:r>
    </w:p>
    <w:bookmarkEnd w:id="578"/>
    <w:bookmarkEnd w:id="579"/>
    <w:bookmarkEnd w:id="580"/>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询问与质疑</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询问</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供应商对政府采购活动事项有疑问的，可依法提出询问，并按《供应商须知资料表》载明的形式送达采购人或采购代理机构。</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采购人或采购代理机构对供应商依法提出的询问，在3个工作日内作出答复，但答复的内容不得涉及商业秘密。</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质疑</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供应商认为谈判文件、采购过程、成交结果使自己的权益受到损害的，可以在知道或者应知其权益受到损害之日起7个工作日内，由供应商派授权代表以书面形式向采购人、采购代理机构提出质疑。采购人、采购代理机构在收到质疑函后7个工作日内作出答复。</w:t>
      </w:r>
    </w:p>
    <w:p>
      <w:pPr>
        <w:numPr>
          <w:ilvl w:val="2"/>
          <w:numId w:val="8"/>
        </w:numPr>
        <w:snapToGrid w:val="0"/>
        <w:spacing w:line="360" w:lineRule="auto"/>
        <w:ind w:left="0" w:firstLine="0"/>
        <w:rPr>
          <w:rFonts w:ascii="宋体" w:hAnsi="宋体" w:cs="宋体"/>
          <w:sz w:val="24"/>
        </w:rPr>
      </w:pPr>
      <w:r>
        <w:rPr>
          <w:rFonts w:hint="eastAsia" w:ascii="宋体" w:hAnsi="宋体" w:cs="宋体"/>
          <w:b/>
          <w:sz w:val="24"/>
        </w:rPr>
        <w:t>谈判文件中采购需求以及相关部分（第四章、第五章以及供应商资格要求）由采购人负责制定和管理，对该部分内容有询问或者质疑的，供应商应当向采购人书面提出，由采购人负责接收和回复。</w:t>
      </w:r>
    </w:p>
    <w:p>
      <w:pPr>
        <w:numPr>
          <w:ilvl w:val="2"/>
          <w:numId w:val="8"/>
        </w:numPr>
        <w:snapToGrid w:val="0"/>
        <w:spacing w:line="360" w:lineRule="auto"/>
        <w:ind w:left="0" w:firstLine="0"/>
        <w:rPr>
          <w:rFonts w:hint="eastAsia" w:ascii="宋体" w:hAnsi="宋体" w:eastAsia="宋体" w:cs="宋体"/>
          <w:sz w:val="24"/>
        </w:rPr>
      </w:pPr>
      <w:r>
        <w:rPr>
          <w:rFonts w:hint="eastAsia" w:ascii="宋体" w:hAnsi="宋体" w:eastAsia="宋体" w:cs="宋体"/>
          <w:sz w:val="24"/>
        </w:rPr>
        <w:t>质疑函须使用财政部制定的范本文件。（下载网址：</w:t>
      </w:r>
      <w:r>
        <w:rPr>
          <w:rFonts w:hint="eastAsia" w:ascii="宋体" w:hAnsi="宋体" w:eastAsia="宋体" w:cs="宋体"/>
          <w:sz w:val="24"/>
        </w:rPr>
        <w:fldChar w:fldCharType="begin"/>
      </w:r>
      <w:r>
        <w:rPr>
          <w:rFonts w:hint="eastAsia" w:ascii="宋体" w:hAnsi="宋体" w:eastAsia="宋体" w:cs="宋体"/>
          <w:sz w:val="24"/>
        </w:rPr>
        <w:instrText xml:space="preserve"> HYPERLINK "http://gks.mof.gov.cn/ztztz/zhengfucaigouguanli/201802/t20180201_2804589.htm" </w:instrText>
      </w:r>
      <w:r>
        <w:rPr>
          <w:rFonts w:hint="eastAsia" w:ascii="宋体" w:hAnsi="宋体" w:eastAsia="宋体" w:cs="宋体"/>
          <w:sz w:val="24"/>
        </w:rPr>
        <w:fldChar w:fldCharType="separate"/>
      </w:r>
      <w:r>
        <w:rPr>
          <w:rFonts w:hint="eastAsia" w:ascii="宋体" w:hAnsi="宋体" w:eastAsia="宋体" w:cs="宋体"/>
          <w:sz w:val="24"/>
        </w:rPr>
        <w:t>http://gk</w:t>
      </w:r>
      <w:bookmarkStart w:id="615" w:name="_Hlt100654014"/>
      <w:r>
        <w:rPr>
          <w:rFonts w:hint="eastAsia" w:ascii="宋体" w:hAnsi="宋体" w:eastAsia="宋体" w:cs="宋体"/>
          <w:sz w:val="24"/>
        </w:rPr>
        <w:t>s</w:t>
      </w:r>
      <w:bookmarkEnd w:id="615"/>
      <w:r>
        <w:rPr>
          <w:rFonts w:hint="eastAsia" w:ascii="宋体" w:hAnsi="宋体" w:eastAsia="宋体" w:cs="宋体"/>
          <w:sz w:val="24"/>
        </w:rPr>
        <w:t>.m</w:t>
      </w:r>
      <w:bookmarkStart w:id="616" w:name="_Hlt100653994"/>
      <w:bookmarkStart w:id="617" w:name="_Hlt100653993"/>
      <w:r>
        <w:rPr>
          <w:rFonts w:hint="eastAsia" w:ascii="宋体" w:hAnsi="宋体" w:eastAsia="宋体" w:cs="宋体"/>
          <w:sz w:val="24"/>
        </w:rPr>
        <w:t>o</w:t>
      </w:r>
      <w:bookmarkEnd w:id="616"/>
      <w:bookmarkEnd w:id="617"/>
      <w:bookmarkStart w:id="618" w:name="_Hlt101169156"/>
      <w:r>
        <w:rPr>
          <w:rFonts w:hint="eastAsia" w:ascii="宋体" w:hAnsi="宋体" w:eastAsia="宋体" w:cs="宋体"/>
          <w:sz w:val="24"/>
        </w:rPr>
        <w:t>f</w:t>
      </w:r>
      <w:bookmarkEnd w:id="618"/>
      <w:r>
        <w:rPr>
          <w:rFonts w:hint="eastAsia" w:ascii="宋体" w:hAnsi="宋体" w:eastAsia="宋体" w:cs="宋体"/>
          <w:sz w:val="24"/>
        </w:rPr>
        <w:t>.gov.cn/ztztz/zhengfucaigouguanli/201802/t20180201_2804589.htm</w:t>
      </w:r>
      <w:r>
        <w:rPr>
          <w:rFonts w:hint="eastAsia" w:ascii="宋体" w:hAnsi="宋体" w:eastAsia="宋体" w:cs="宋体"/>
          <w:sz w:val="24"/>
        </w:rPr>
        <w:fldChar w:fldCharType="end"/>
      </w:r>
      <w:r>
        <w:rPr>
          <w:rFonts w:hint="eastAsia" w:ascii="宋体" w:hAnsi="宋体" w:eastAsia="宋体" w:cs="宋体"/>
          <w:sz w:val="24"/>
        </w:rPr>
        <w:t>）</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供应商为自然人的，应当由本人签字；供应商为法人或者其他组织的，应当由法定代表人、主要负责人，或者其授权代表签字或者盖章，并加盖公章。</w:t>
      </w:r>
    </w:p>
    <w:p>
      <w:pPr>
        <w:numPr>
          <w:ilvl w:val="2"/>
          <w:numId w:val="8"/>
        </w:numPr>
        <w:snapToGrid w:val="0"/>
        <w:spacing w:line="360" w:lineRule="auto"/>
        <w:ind w:left="0" w:firstLine="0"/>
        <w:rPr>
          <w:rFonts w:ascii="宋体" w:hAnsi="宋体" w:cs="宋体"/>
          <w:sz w:val="24"/>
        </w:rPr>
      </w:pPr>
      <w:r>
        <w:rPr>
          <w:rFonts w:hint="eastAsia" w:ascii="宋体" w:hAnsi="宋体" w:cs="宋体"/>
          <w:sz w:val="24"/>
        </w:rPr>
        <w:t>供应商应在法定质疑期内一次性提出针对同一采购程序环节的质疑，法定质疑期内针对同一采购程序环节再次提出的质疑，采购人、采购代理机构有权不予答复。</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接收询问和质疑的联系部门、联系电话和通讯地址见《供应商须知资料表》。</w:t>
      </w:r>
    </w:p>
    <w:p>
      <w:pPr>
        <w:numPr>
          <w:ilvl w:val="0"/>
          <w:numId w:val="8"/>
        </w:numPr>
        <w:tabs>
          <w:tab w:val="left" w:pos="360"/>
          <w:tab w:val="clear" w:pos="0"/>
        </w:tabs>
        <w:snapToGrid w:val="0"/>
        <w:spacing w:line="360" w:lineRule="auto"/>
        <w:ind w:left="0" w:firstLine="0"/>
        <w:outlineLvl w:val="1"/>
        <w:rPr>
          <w:rFonts w:ascii="宋体" w:hAnsi="宋体" w:cs="宋体"/>
          <w:sz w:val="24"/>
        </w:rPr>
      </w:pPr>
      <w:r>
        <w:rPr>
          <w:rFonts w:hint="eastAsia" w:ascii="宋体" w:hAnsi="宋体" w:cs="宋体"/>
          <w:sz w:val="24"/>
        </w:rPr>
        <w:t>代理费</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收费对象、收费标准及缴纳时间见《供应商须知资料表》。由成交供应商支付的，成交供应商须一次性向采购代理机构缴纳代理费，报价应包含代理费用。</w:t>
      </w:r>
    </w:p>
    <w:p>
      <w:pPr>
        <w:numPr>
          <w:ilvl w:val="1"/>
          <w:numId w:val="8"/>
        </w:numPr>
        <w:tabs>
          <w:tab w:val="left" w:pos="1080"/>
          <w:tab w:val="left" w:pos="2014"/>
          <w:tab w:val="clear" w:pos="0"/>
        </w:tabs>
        <w:snapToGrid w:val="0"/>
        <w:spacing w:line="360" w:lineRule="auto"/>
        <w:ind w:left="0" w:firstLine="0"/>
        <w:rPr>
          <w:rFonts w:ascii="宋体" w:hAnsi="宋体" w:cs="宋体"/>
          <w:sz w:val="24"/>
        </w:rPr>
      </w:pPr>
      <w:r>
        <w:rPr>
          <w:rFonts w:hint="eastAsia" w:ascii="宋体" w:hAnsi="宋体" w:cs="宋体"/>
          <w:sz w:val="24"/>
        </w:rPr>
        <w:t>集中采购机构不收取代理费。</w:t>
      </w:r>
    </w:p>
    <w:p>
      <w:pPr>
        <w:spacing w:line="360" w:lineRule="auto"/>
        <w:outlineLvl w:val="0"/>
        <w:rPr>
          <w:b/>
          <w:sz w:val="36"/>
          <w:szCs w:val="36"/>
        </w:rPr>
      </w:pPr>
    </w:p>
    <w:p>
      <w:pPr>
        <w:spacing w:line="360" w:lineRule="auto"/>
        <w:outlineLvl w:val="0"/>
        <w:rPr>
          <w:b/>
          <w:sz w:val="36"/>
          <w:szCs w:val="36"/>
        </w:rPr>
      </w:pPr>
    </w:p>
    <w:p>
      <w:pPr>
        <w:spacing w:line="360" w:lineRule="auto"/>
        <w:jc w:val="center"/>
        <w:outlineLvl w:val="0"/>
        <w:rPr>
          <w:b/>
          <w:sz w:val="36"/>
          <w:szCs w:val="36"/>
        </w:rPr>
      </w:pPr>
    </w:p>
    <w:p>
      <w:pPr>
        <w:spacing w:line="360" w:lineRule="auto"/>
        <w:jc w:val="center"/>
        <w:outlineLvl w:val="0"/>
        <w:rPr>
          <w:b/>
          <w:sz w:val="36"/>
          <w:szCs w:val="36"/>
        </w:rPr>
      </w:pPr>
    </w:p>
    <w:p>
      <w:pPr>
        <w:spacing w:line="360" w:lineRule="auto"/>
        <w:jc w:val="center"/>
        <w:outlineLvl w:val="0"/>
        <w:rPr>
          <w:b/>
          <w:sz w:val="36"/>
          <w:szCs w:val="36"/>
        </w:rPr>
      </w:pPr>
      <w:r>
        <w:rPr>
          <w:b/>
          <w:sz w:val="36"/>
          <w:szCs w:val="36"/>
        </w:rPr>
        <w:br w:type="page"/>
      </w:r>
      <w:r>
        <w:rPr>
          <w:b/>
          <w:sz w:val="30"/>
          <w:szCs w:val="30"/>
        </w:rPr>
        <w:t xml:space="preserve">第三章   </w:t>
      </w:r>
      <w:bookmarkEnd w:id="115"/>
      <w:bookmarkEnd w:id="116"/>
      <w:bookmarkEnd w:id="117"/>
      <w:bookmarkEnd w:id="118"/>
      <w:bookmarkEnd w:id="119"/>
      <w:bookmarkEnd w:id="120"/>
      <w:bookmarkEnd w:id="121"/>
      <w:bookmarkEnd w:id="122"/>
      <w:bookmarkEnd w:id="123"/>
      <w:bookmarkEnd w:id="124"/>
      <w:bookmarkEnd w:id="125"/>
      <w:bookmarkEnd w:id="126"/>
      <w:bookmarkEnd w:id="127"/>
      <w:bookmarkStart w:id="619" w:name="_Hlk97413531"/>
      <w:bookmarkStart w:id="620" w:name="_Toc487900382"/>
      <w:r>
        <w:rPr>
          <w:b/>
          <w:sz w:val="30"/>
          <w:szCs w:val="30"/>
        </w:rPr>
        <w:t>评审程序和</w:t>
      </w:r>
      <w:bookmarkEnd w:id="619"/>
      <w:r>
        <w:rPr>
          <w:b/>
          <w:sz w:val="30"/>
          <w:szCs w:val="30"/>
        </w:rPr>
        <w:t>评定成交的标准</w:t>
      </w:r>
      <w:bookmarkEnd w:id="128"/>
    </w:p>
    <w:p>
      <w:pPr>
        <w:numPr>
          <w:ilvl w:val="0"/>
          <w:numId w:val="10"/>
        </w:numPr>
        <w:tabs>
          <w:tab w:val="left" w:pos="360"/>
        </w:tabs>
        <w:snapToGrid w:val="0"/>
        <w:spacing w:line="360" w:lineRule="auto"/>
        <w:outlineLvl w:val="1"/>
        <w:rPr>
          <w:sz w:val="24"/>
        </w:rPr>
      </w:pPr>
      <w:r>
        <w:rPr>
          <w:sz w:val="24"/>
        </w:rPr>
        <w:t>响应文件的资格审查和符合性</w:t>
      </w:r>
      <w:r>
        <w:rPr>
          <w:rFonts w:hint="eastAsia"/>
          <w:sz w:val="24"/>
        </w:rPr>
        <w:t>审查</w:t>
      </w:r>
    </w:p>
    <w:p>
      <w:pPr>
        <w:numPr>
          <w:ilvl w:val="1"/>
          <w:numId w:val="11"/>
        </w:numPr>
        <w:tabs>
          <w:tab w:val="left" w:pos="360"/>
          <w:tab w:val="left" w:pos="426"/>
          <w:tab w:val="left" w:pos="900"/>
        </w:tabs>
        <w:snapToGrid w:val="0"/>
        <w:spacing w:line="360" w:lineRule="auto"/>
        <w:ind w:left="0" w:firstLine="0"/>
        <w:outlineLvl w:val="1"/>
        <w:rPr>
          <w:color w:val="000000"/>
          <w:kern w:val="0"/>
          <w:sz w:val="24"/>
        </w:rPr>
      </w:pPr>
      <w:r>
        <w:rPr>
          <w:color w:val="000000"/>
          <w:kern w:val="0"/>
          <w:sz w:val="24"/>
        </w:rPr>
        <w:t>谈判小组将根据《</w:t>
      </w:r>
      <w:r>
        <w:rPr>
          <w:sz w:val="24"/>
        </w:rPr>
        <w:t>资格审查要求》和《符合性</w:t>
      </w:r>
      <w:r>
        <w:rPr>
          <w:rFonts w:hint="eastAsia"/>
          <w:sz w:val="24"/>
        </w:rPr>
        <w:t>审查</w:t>
      </w:r>
      <w:r>
        <w:rPr>
          <w:sz w:val="24"/>
        </w:rPr>
        <w:t>要求</w:t>
      </w:r>
      <w:r>
        <w:rPr>
          <w:color w:val="000000"/>
          <w:kern w:val="0"/>
          <w:sz w:val="24"/>
        </w:rPr>
        <w:t>》中规定的内容，对供应商进行审查，并形成审查结果。供应商《响应文件》有任何一项不符合《资格审查要求》的，</w:t>
      </w:r>
      <w:r>
        <w:rPr>
          <w:rFonts w:hint="eastAsia"/>
          <w:color w:val="000000"/>
          <w:kern w:val="0"/>
          <w:sz w:val="24"/>
        </w:rPr>
        <w:t>视为未实质性响应谈判文件</w:t>
      </w:r>
      <w:r>
        <w:rPr>
          <w:color w:val="000000"/>
          <w:kern w:val="0"/>
          <w:sz w:val="24"/>
        </w:rPr>
        <w:t>。</w:t>
      </w:r>
      <w:r>
        <w:rPr>
          <w:rFonts w:hint="eastAsia"/>
          <w:color w:val="000000"/>
          <w:kern w:val="0"/>
          <w:sz w:val="24"/>
        </w:rPr>
        <w:t>未实质性响应谈判文件的响应文件</w:t>
      </w:r>
      <w:r>
        <w:rPr>
          <w:rFonts w:hint="eastAsia"/>
          <w:b/>
          <w:bCs/>
          <w:color w:val="000000"/>
          <w:kern w:val="0"/>
          <w:sz w:val="24"/>
        </w:rPr>
        <w:t>按无效处理</w:t>
      </w:r>
      <w:r>
        <w:rPr>
          <w:rFonts w:hint="eastAsia"/>
          <w:color w:val="000000"/>
          <w:kern w:val="0"/>
          <w:sz w:val="24"/>
        </w:rPr>
        <w:t>，谈判小组应当告知有关供应商。</w:t>
      </w:r>
    </w:p>
    <w:p>
      <w:pPr>
        <w:numPr>
          <w:ilvl w:val="1"/>
          <w:numId w:val="11"/>
        </w:numPr>
        <w:tabs>
          <w:tab w:val="left" w:pos="360"/>
          <w:tab w:val="left" w:pos="426"/>
          <w:tab w:val="left" w:pos="900"/>
        </w:tabs>
        <w:snapToGrid w:val="0"/>
        <w:spacing w:line="360" w:lineRule="auto"/>
        <w:ind w:left="0" w:firstLine="0"/>
        <w:outlineLvl w:val="1"/>
        <w:rPr>
          <w:color w:val="000000"/>
          <w:kern w:val="0"/>
          <w:sz w:val="24"/>
        </w:rPr>
      </w:pPr>
      <w:r>
        <w:rPr>
          <w:color w:val="000000"/>
          <w:kern w:val="0"/>
          <w:sz w:val="24"/>
        </w:rPr>
        <w:t>《资格审查要求》中对格式有要求的，除谈判文件另有规定外，均为“实质性格式”文件。</w:t>
      </w:r>
    </w:p>
    <w:p>
      <w:pPr>
        <w:numPr>
          <w:ilvl w:val="1"/>
          <w:numId w:val="11"/>
        </w:numPr>
        <w:tabs>
          <w:tab w:val="left" w:pos="360"/>
          <w:tab w:val="left" w:pos="426"/>
          <w:tab w:val="left" w:pos="900"/>
        </w:tabs>
        <w:snapToGrid w:val="0"/>
        <w:spacing w:line="360" w:lineRule="auto"/>
        <w:ind w:left="0" w:firstLine="0"/>
        <w:outlineLvl w:val="1"/>
        <w:rPr>
          <w:color w:val="000000"/>
          <w:kern w:val="0"/>
          <w:sz w:val="24"/>
        </w:rPr>
      </w:pPr>
      <w:r>
        <w:rPr>
          <w:color w:val="000000"/>
          <w:kern w:val="0"/>
          <w:sz w:val="24"/>
        </w:rPr>
        <w:t>《资格审查要求》见下表：</w:t>
      </w:r>
    </w:p>
    <w:p>
      <w:pPr>
        <w:tabs>
          <w:tab w:val="left" w:pos="1080"/>
        </w:tabs>
        <w:snapToGrid w:val="0"/>
        <w:spacing w:line="360" w:lineRule="auto"/>
        <w:jc w:val="center"/>
        <w:rPr>
          <w:b/>
          <w:sz w:val="24"/>
        </w:rPr>
      </w:pPr>
      <w:r>
        <w:rPr>
          <w:b/>
          <w:sz w:val="24"/>
        </w:rPr>
        <w:t>资格审查要求</w:t>
      </w:r>
    </w:p>
    <w:tbl>
      <w:tblPr>
        <w:tblStyle w:val="4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8"/>
        <w:gridCol w:w="1885"/>
        <w:gridCol w:w="4898"/>
        <w:gridCol w:w="1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blHeader/>
        </w:trPr>
        <w:tc>
          <w:tcPr>
            <w:tcW w:w="375" w:type="pct"/>
            <w:vAlign w:val="center"/>
          </w:tcPr>
          <w:p>
            <w:pPr>
              <w:tabs>
                <w:tab w:val="left" w:pos="1080"/>
              </w:tabs>
              <w:snapToGrid w:val="0"/>
              <w:jc w:val="center"/>
              <w:rPr>
                <w:b/>
                <w:sz w:val="24"/>
              </w:rPr>
            </w:pPr>
            <w:r>
              <w:rPr>
                <w:b/>
                <w:sz w:val="24"/>
              </w:rPr>
              <w:t>序号</w:t>
            </w:r>
          </w:p>
        </w:tc>
        <w:tc>
          <w:tcPr>
            <w:tcW w:w="1014" w:type="pct"/>
            <w:vAlign w:val="center"/>
          </w:tcPr>
          <w:p>
            <w:pPr>
              <w:tabs>
                <w:tab w:val="left" w:pos="1080"/>
              </w:tabs>
              <w:snapToGrid w:val="0"/>
              <w:jc w:val="center"/>
              <w:rPr>
                <w:b/>
                <w:sz w:val="24"/>
              </w:rPr>
            </w:pPr>
            <w:r>
              <w:rPr>
                <w:b/>
                <w:sz w:val="24"/>
              </w:rPr>
              <w:t>审查因素</w:t>
            </w:r>
          </w:p>
        </w:tc>
        <w:tc>
          <w:tcPr>
            <w:tcW w:w="2636" w:type="pct"/>
            <w:vAlign w:val="center"/>
          </w:tcPr>
          <w:p>
            <w:pPr>
              <w:tabs>
                <w:tab w:val="left" w:pos="1080"/>
              </w:tabs>
              <w:snapToGrid w:val="0"/>
              <w:jc w:val="center"/>
              <w:rPr>
                <w:b/>
                <w:sz w:val="24"/>
              </w:rPr>
            </w:pPr>
            <w:r>
              <w:rPr>
                <w:b/>
                <w:sz w:val="24"/>
              </w:rPr>
              <w:t>审查内容</w:t>
            </w:r>
          </w:p>
        </w:tc>
        <w:tc>
          <w:tcPr>
            <w:tcW w:w="973" w:type="pct"/>
            <w:vAlign w:val="center"/>
          </w:tcPr>
          <w:p>
            <w:pPr>
              <w:tabs>
                <w:tab w:val="left" w:pos="1080"/>
              </w:tabs>
              <w:snapToGrid w:val="0"/>
              <w:jc w:val="center"/>
              <w:rPr>
                <w:b/>
                <w:sz w:val="24"/>
              </w:rPr>
            </w:pPr>
            <w:r>
              <w:rPr>
                <w:b/>
                <w:sz w:val="24"/>
              </w:rPr>
              <w:t>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rPr>
        <w:tc>
          <w:tcPr>
            <w:tcW w:w="375" w:type="pct"/>
            <w:vAlign w:val="center"/>
          </w:tcPr>
          <w:p>
            <w:pPr>
              <w:tabs>
                <w:tab w:val="left" w:pos="1080"/>
              </w:tabs>
              <w:snapToGrid w:val="0"/>
              <w:jc w:val="center"/>
              <w:rPr>
                <w:sz w:val="24"/>
              </w:rPr>
            </w:pPr>
            <w:r>
              <w:rPr>
                <w:sz w:val="24"/>
              </w:rPr>
              <w:t>1</w:t>
            </w:r>
          </w:p>
        </w:tc>
        <w:tc>
          <w:tcPr>
            <w:tcW w:w="1014" w:type="pct"/>
            <w:vAlign w:val="center"/>
          </w:tcPr>
          <w:p>
            <w:pPr>
              <w:tabs>
                <w:tab w:val="left" w:pos="1080"/>
              </w:tabs>
              <w:snapToGrid w:val="0"/>
              <w:rPr>
                <w:sz w:val="24"/>
              </w:rPr>
            </w:pPr>
            <w:r>
              <w:rPr>
                <w:sz w:val="24"/>
              </w:rPr>
              <w:t>满足《中华人民共和国政府采购法》第二十二条规定及法律法规的其他规定</w:t>
            </w:r>
          </w:p>
        </w:tc>
        <w:tc>
          <w:tcPr>
            <w:tcW w:w="2636" w:type="pct"/>
            <w:vAlign w:val="center"/>
          </w:tcPr>
          <w:p>
            <w:pPr>
              <w:tabs>
                <w:tab w:val="left" w:pos="1080"/>
              </w:tabs>
              <w:snapToGrid w:val="0"/>
              <w:rPr>
                <w:sz w:val="24"/>
              </w:rPr>
            </w:pPr>
            <w:r>
              <w:rPr>
                <w:sz w:val="24"/>
              </w:rPr>
              <w:t>具体规定见第一章《采购邀请》</w:t>
            </w:r>
          </w:p>
        </w:tc>
        <w:tc>
          <w:tcPr>
            <w:tcW w:w="973" w:type="pct"/>
            <w:vAlign w:val="center"/>
          </w:tcPr>
          <w:p>
            <w:pPr>
              <w:tabs>
                <w:tab w:val="left" w:pos="1080"/>
              </w:tabs>
              <w:snapToGrid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375" w:type="pct"/>
            <w:vAlign w:val="center"/>
          </w:tcPr>
          <w:p>
            <w:pPr>
              <w:tabs>
                <w:tab w:val="left" w:pos="1080"/>
              </w:tabs>
              <w:snapToGrid w:val="0"/>
              <w:jc w:val="center"/>
              <w:rPr>
                <w:sz w:val="24"/>
              </w:rPr>
            </w:pPr>
            <w:r>
              <w:rPr>
                <w:sz w:val="24"/>
              </w:rPr>
              <w:t>1-1</w:t>
            </w:r>
          </w:p>
        </w:tc>
        <w:tc>
          <w:tcPr>
            <w:tcW w:w="1014" w:type="pct"/>
            <w:vAlign w:val="center"/>
          </w:tcPr>
          <w:p>
            <w:pPr>
              <w:tabs>
                <w:tab w:val="left" w:pos="1080"/>
              </w:tabs>
              <w:snapToGrid w:val="0"/>
              <w:rPr>
                <w:sz w:val="24"/>
              </w:rPr>
            </w:pPr>
            <w:r>
              <w:rPr>
                <w:rFonts w:hint="eastAsia"/>
                <w:sz w:val="24"/>
              </w:rPr>
              <w:t>供应商资格声明函</w:t>
            </w:r>
          </w:p>
        </w:tc>
        <w:tc>
          <w:tcPr>
            <w:tcW w:w="2636" w:type="pct"/>
            <w:vAlign w:val="center"/>
          </w:tcPr>
          <w:p>
            <w:pPr>
              <w:tabs>
                <w:tab w:val="left" w:pos="1080"/>
              </w:tabs>
              <w:snapToGrid w:val="0"/>
              <w:rPr>
                <w:sz w:val="24"/>
              </w:rPr>
            </w:pPr>
            <w:r>
              <w:rPr>
                <w:sz w:val="24"/>
              </w:rPr>
              <w:t>提供了符合</w:t>
            </w:r>
            <w:r>
              <w:rPr>
                <w:rFonts w:hint="eastAsia"/>
                <w:sz w:val="24"/>
              </w:rPr>
              <w:t>采购</w:t>
            </w:r>
            <w:r>
              <w:rPr>
                <w:sz w:val="24"/>
              </w:rPr>
              <w:t>文件要求的《</w:t>
            </w:r>
            <w:r>
              <w:rPr>
                <w:rFonts w:hint="eastAsia"/>
                <w:sz w:val="24"/>
              </w:rPr>
              <w:t>供应商资格声明函</w:t>
            </w:r>
            <w:r>
              <w:rPr>
                <w:sz w:val="24"/>
              </w:rPr>
              <w:t>》。</w:t>
            </w:r>
          </w:p>
        </w:tc>
        <w:tc>
          <w:tcPr>
            <w:tcW w:w="973" w:type="pct"/>
            <w:vAlign w:val="center"/>
          </w:tcPr>
          <w:p>
            <w:pPr>
              <w:tabs>
                <w:tab w:val="left" w:pos="1080"/>
              </w:tabs>
              <w:snapToGrid w:val="0"/>
              <w:rPr>
                <w:sz w:val="24"/>
              </w:rPr>
            </w:pPr>
            <w:r>
              <w:rPr>
                <w:sz w:val="24"/>
              </w:rPr>
              <w:t>格式见《</w:t>
            </w:r>
            <w:r>
              <w:rPr>
                <w:rFonts w:hint="eastAsia"/>
                <w:sz w:val="24"/>
              </w:rPr>
              <w:t>响应</w:t>
            </w:r>
            <w:r>
              <w:rPr>
                <w:sz w:val="24"/>
              </w:rPr>
              <w:t>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rPr>
        <w:tc>
          <w:tcPr>
            <w:tcW w:w="375" w:type="pct"/>
            <w:vAlign w:val="center"/>
          </w:tcPr>
          <w:p>
            <w:pPr>
              <w:tabs>
                <w:tab w:val="left" w:pos="1080"/>
              </w:tabs>
              <w:snapToGrid w:val="0"/>
              <w:jc w:val="center"/>
              <w:rPr>
                <w:sz w:val="24"/>
              </w:rPr>
            </w:pPr>
            <w:r>
              <w:rPr>
                <w:rFonts w:hint="eastAsia"/>
                <w:sz w:val="24"/>
              </w:rPr>
              <w:t>1</w:t>
            </w:r>
            <w:r>
              <w:rPr>
                <w:sz w:val="24"/>
              </w:rPr>
              <w:t>-</w:t>
            </w:r>
            <w:r>
              <w:rPr>
                <w:rFonts w:hint="eastAsia"/>
                <w:sz w:val="24"/>
              </w:rPr>
              <w:t>2</w:t>
            </w:r>
          </w:p>
        </w:tc>
        <w:tc>
          <w:tcPr>
            <w:tcW w:w="1014" w:type="pct"/>
            <w:vAlign w:val="center"/>
          </w:tcPr>
          <w:p>
            <w:pPr>
              <w:tabs>
                <w:tab w:val="left" w:pos="1080"/>
              </w:tabs>
              <w:snapToGrid w:val="0"/>
              <w:rPr>
                <w:sz w:val="24"/>
              </w:rPr>
            </w:pPr>
            <w:r>
              <w:rPr>
                <w:sz w:val="24"/>
              </w:rPr>
              <w:t>供应商信用记录</w:t>
            </w:r>
          </w:p>
        </w:tc>
        <w:tc>
          <w:tcPr>
            <w:tcW w:w="2636" w:type="pct"/>
            <w:vAlign w:val="center"/>
          </w:tcPr>
          <w:p>
            <w:pPr>
              <w:tabs>
                <w:tab w:val="left" w:pos="900"/>
                <w:tab w:val="left" w:pos="1980"/>
              </w:tabs>
              <w:snapToGrid w:val="0"/>
              <w:rPr>
                <w:sz w:val="24"/>
              </w:rPr>
            </w:pPr>
            <w:r>
              <w:rPr>
                <w:sz w:val="24"/>
              </w:rPr>
              <w:t>查询渠道：信用中国网站和中国政府采购网（www.creditchina.gov.cn、www.ccgp.gov.cn）；</w:t>
            </w:r>
          </w:p>
          <w:p>
            <w:pPr>
              <w:tabs>
                <w:tab w:val="left" w:pos="900"/>
                <w:tab w:val="left" w:pos="1980"/>
              </w:tabs>
              <w:snapToGrid w:val="0"/>
              <w:rPr>
                <w:sz w:val="24"/>
              </w:rPr>
            </w:pPr>
            <w:r>
              <w:rPr>
                <w:sz w:val="24"/>
              </w:rPr>
              <w:t>截止时点：提交响应文件截止时间以后、</w:t>
            </w:r>
            <w:r>
              <w:rPr>
                <w:rFonts w:hint="eastAsia"/>
                <w:sz w:val="24"/>
              </w:rPr>
              <w:t>资格审查阶段采购人或采购代理机构</w:t>
            </w:r>
            <w:r>
              <w:rPr>
                <w:sz w:val="24"/>
              </w:rPr>
              <w:t>的实际查询时间；</w:t>
            </w:r>
          </w:p>
          <w:p>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pPr>
              <w:tabs>
                <w:tab w:val="left" w:pos="1080"/>
              </w:tabs>
              <w:snapToGrid w:val="0"/>
              <w:rPr>
                <w:sz w:val="24"/>
              </w:rPr>
            </w:pPr>
            <w:r>
              <w:rPr>
                <w:sz w:val="24"/>
              </w:rPr>
              <w:t>信用信息的使用原则：经认定的被列入失信被执行人、重大税收违法案件当事人名单、政府采购严重违法失信行为记录名单的供应商，其</w:t>
            </w:r>
            <w:r>
              <w:rPr>
                <w:b/>
                <w:sz w:val="24"/>
              </w:rPr>
              <w:t>响应无效</w:t>
            </w:r>
            <w:r>
              <w:rPr>
                <w:sz w:val="24"/>
              </w:rPr>
              <w:t>。联合体形式响应的，联合体成员存在不良信用记录，视同联合体存在不良信用记录。</w:t>
            </w:r>
          </w:p>
        </w:tc>
        <w:tc>
          <w:tcPr>
            <w:tcW w:w="973" w:type="pct"/>
            <w:vAlign w:val="center"/>
          </w:tcPr>
          <w:p>
            <w:pPr>
              <w:tabs>
                <w:tab w:val="left" w:pos="1080"/>
              </w:tabs>
              <w:snapToGrid w:val="0"/>
              <w:rPr>
                <w:sz w:val="24"/>
              </w:rPr>
            </w:pPr>
            <w:r>
              <w:rPr>
                <w:sz w:val="24"/>
              </w:rPr>
              <w:t>无须供应商提供，由采购人查询。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rPr>
        <w:tc>
          <w:tcPr>
            <w:tcW w:w="375" w:type="pct"/>
            <w:vAlign w:val="center"/>
          </w:tcPr>
          <w:p>
            <w:pPr>
              <w:tabs>
                <w:tab w:val="left" w:pos="1080"/>
              </w:tabs>
              <w:snapToGrid w:val="0"/>
              <w:jc w:val="center"/>
              <w:rPr>
                <w:sz w:val="24"/>
              </w:rPr>
            </w:pPr>
            <w:r>
              <w:rPr>
                <w:sz w:val="24"/>
              </w:rPr>
              <w:t>2</w:t>
            </w:r>
          </w:p>
        </w:tc>
        <w:tc>
          <w:tcPr>
            <w:tcW w:w="1014" w:type="pct"/>
            <w:vAlign w:val="center"/>
          </w:tcPr>
          <w:p>
            <w:pPr>
              <w:tabs>
                <w:tab w:val="left" w:pos="1080"/>
              </w:tabs>
              <w:snapToGrid w:val="0"/>
              <w:rPr>
                <w:sz w:val="24"/>
              </w:rPr>
            </w:pPr>
            <w:r>
              <w:rPr>
                <w:sz w:val="24"/>
              </w:rPr>
              <w:t>落实政府采购政策需满足的资格要求</w:t>
            </w:r>
          </w:p>
        </w:tc>
        <w:tc>
          <w:tcPr>
            <w:tcW w:w="2636" w:type="pct"/>
            <w:vAlign w:val="center"/>
          </w:tcPr>
          <w:p>
            <w:pPr>
              <w:tabs>
                <w:tab w:val="left" w:pos="1080"/>
              </w:tabs>
              <w:snapToGrid w:val="0"/>
              <w:rPr>
                <w:sz w:val="24"/>
              </w:rPr>
            </w:pPr>
            <w:r>
              <w:rPr>
                <w:sz w:val="24"/>
              </w:rPr>
              <w:t>具体要求见第一章《采购邀请》</w:t>
            </w:r>
          </w:p>
        </w:tc>
        <w:tc>
          <w:tcPr>
            <w:tcW w:w="973" w:type="pct"/>
            <w:vAlign w:val="center"/>
          </w:tcPr>
          <w:p>
            <w:pPr>
              <w:tabs>
                <w:tab w:val="left" w:pos="1080"/>
              </w:tabs>
              <w:snapToGrid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rPr>
        <w:tc>
          <w:tcPr>
            <w:tcW w:w="375" w:type="pct"/>
            <w:vAlign w:val="center"/>
          </w:tcPr>
          <w:p>
            <w:pPr>
              <w:tabs>
                <w:tab w:val="left" w:pos="1080"/>
              </w:tabs>
              <w:snapToGrid w:val="0"/>
              <w:jc w:val="center"/>
              <w:rPr>
                <w:sz w:val="24"/>
              </w:rPr>
            </w:pPr>
            <w:r>
              <w:rPr>
                <w:sz w:val="24"/>
              </w:rPr>
              <w:t>3</w:t>
            </w:r>
          </w:p>
        </w:tc>
        <w:tc>
          <w:tcPr>
            <w:tcW w:w="1014" w:type="pct"/>
            <w:vAlign w:val="center"/>
          </w:tcPr>
          <w:p>
            <w:pPr>
              <w:tabs>
                <w:tab w:val="left" w:pos="1080"/>
              </w:tabs>
              <w:snapToGrid w:val="0"/>
              <w:rPr>
                <w:sz w:val="24"/>
              </w:rPr>
            </w:pPr>
            <w:r>
              <w:rPr>
                <w:sz w:val="24"/>
              </w:rPr>
              <w:t>本项目的特定资格要求</w:t>
            </w:r>
          </w:p>
        </w:tc>
        <w:tc>
          <w:tcPr>
            <w:tcW w:w="2636" w:type="pct"/>
            <w:vAlign w:val="center"/>
          </w:tcPr>
          <w:p>
            <w:pPr>
              <w:tabs>
                <w:tab w:val="left" w:pos="1080"/>
              </w:tabs>
              <w:snapToGrid w:val="0"/>
              <w:rPr>
                <w:sz w:val="24"/>
              </w:rPr>
            </w:pPr>
            <w:r>
              <w:rPr>
                <w:sz w:val="24"/>
              </w:rPr>
              <w:t>如有，见第一章《采购邀请》</w:t>
            </w:r>
          </w:p>
        </w:tc>
        <w:tc>
          <w:tcPr>
            <w:tcW w:w="973" w:type="pct"/>
            <w:vAlign w:val="center"/>
          </w:tcPr>
          <w:p>
            <w:pPr>
              <w:tabs>
                <w:tab w:val="left" w:pos="1080"/>
              </w:tabs>
              <w:snapToGrid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rPr>
        <w:tc>
          <w:tcPr>
            <w:tcW w:w="375" w:type="pct"/>
            <w:vAlign w:val="center"/>
          </w:tcPr>
          <w:p>
            <w:pPr>
              <w:tabs>
                <w:tab w:val="left" w:pos="1080"/>
              </w:tabs>
              <w:snapToGrid w:val="0"/>
              <w:jc w:val="center"/>
              <w:rPr>
                <w:sz w:val="24"/>
              </w:rPr>
            </w:pPr>
            <w:r>
              <w:rPr>
                <w:rFonts w:hint="eastAsia"/>
                <w:sz w:val="24"/>
              </w:rPr>
              <w:t>3-1</w:t>
            </w:r>
          </w:p>
        </w:tc>
        <w:tc>
          <w:tcPr>
            <w:tcW w:w="1014" w:type="pct"/>
            <w:vAlign w:val="center"/>
          </w:tcPr>
          <w:p>
            <w:pPr>
              <w:tabs>
                <w:tab w:val="left" w:pos="1080"/>
              </w:tabs>
              <w:snapToGrid w:val="0"/>
              <w:rPr>
                <w:sz w:val="24"/>
              </w:rPr>
            </w:pPr>
            <w:r>
              <w:rPr>
                <w:sz w:val="24"/>
              </w:rPr>
              <w:t>其他特定资格要求</w:t>
            </w:r>
          </w:p>
        </w:tc>
        <w:tc>
          <w:tcPr>
            <w:tcW w:w="2636" w:type="pct"/>
            <w:vAlign w:val="center"/>
          </w:tcPr>
          <w:p>
            <w:pPr>
              <w:tabs>
                <w:tab w:val="left" w:pos="1080"/>
              </w:tabs>
              <w:snapToGrid w:val="0"/>
              <w:rPr>
                <w:sz w:val="24"/>
              </w:rPr>
            </w:pPr>
            <w:r>
              <w:rPr>
                <w:color w:val="000000"/>
                <w:sz w:val="24"/>
              </w:rPr>
              <w:t>如有，见</w:t>
            </w:r>
            <w:r>
              <w:rPr>
                <w:sz w:val="24"/>
              </w:rPr>
              <w:t>第一章《采购邀请》</w:t>
            </w:r>
          </w:p>
        </w:tc>
        <w:tc>
          <w:tcPr>
            <w:tcW w:w="973" w:type="pct"/>
            <w:vAlign w:val="center"/>
          </w:tcPr>
          <w:p>
            <w:pPr>
              <w:tabs>
                <w:tab w:val="left" w:pos="1080"/>
              </w:tabs>
              <w:snapToGrid w:val="0"/>
              <w:rPr>
                <w:sz w:val="24"/>
              </w:rPr>
            </w:pPr>
            <w:r>
              <w:rPr>
                <w:rFonts w:hint="eastAsia"/>
                <w:sz w:val="24"/>
              </w:rPr>
              <w:t>具体详见“供应商须知资料表”资格审查</w:t>
            </w:r>
          </w:p>
          <w:p>
            <w:pPr>
              <w:tabs>
                <w:tab w:val="left" w:pos="1080"/>
              </w:tabs>
              <w:snapToGrid w:val="0"/>
              <w:rPr>
                <w:sz w:val="24"/>
              </w:rPr>
            </w:pPr>
          </w:p>
        </w:tc>
      </w:tr>
    </w:tbl>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snapToGrid w:val="0"/>
        <w:spacing w:line="360" w:lineRule="auto"/>
        <w:rPr>
          <w:sz w:val="24"/>
        </w:rPr>
      </w:pPr>
    </w:p>
    <w:p>
      <w:pPr>
        <w:numPr>
          <w:ilvl w:val="1"/>
          <w:numId w:val="11"/>
        </w:numPr>
        <w:tabs>
          <w:tab w:val="left" w:pos="360"/>
          <w:tab w:val="left" w:pos="426"/>
          <w:tab w:val="left" w:pos="900"/>
        </w:tabs>
        <w:snapToGrid w:val="0"/>
        <w:spacing w:line="360" w:lineRule="auto"/>
        <w:ind w:left="900" w:leftChars="200" w:hanging="480" w:hangingChars="200"/>
        <w:outlineLvl w:val="1"/>
        <w:rPr>
          <w:color w:val="000000"/>
          <w:kern w:val="0"/>
          <w:sz w:val="24"/>
        </w:rPr>
      </w:pPr>
      <w:bookmarkStart w:id="621" w:name="_Toc353873940"/>
      <w:bookmarkStart w:id="622" w:name="_Toc226965858"/>
      <w:bookmarkStart w:id="623" w:name="_Toc127151779"/>
      <w:bookmarkStart w:id="624" w:name="_Toc353825550"/>
      <w:bookmarkStart w:id="625" w:name="_Toc127161490"/>
      <w:r>
        <w:rPr>
          <w:color w:val="000000"/>
          <w:kern w:val="0"/>
          <w:sz w:val="24"/>
        </w:rPr>
        <w:br w:type="page"/>
      </w:r>
      <w:r>
        <w:rPr>
          <w:color w:val="000000"/>
          <w:kern w:val="0"/>
          <w:sz w:val="24"/>
        </w:rPr>
        <w:t>《符合性审查要求》见下表：</w:t>
      </w:r>
      <w:bookmarkEnd w:id="621"/>
      <w:bookmarkEnd w:id="622"/>
      <w:bookmarkEnd w:id="623"/>
      <w:bookmarkEnd w:id="624"/>
      <w:bookmarkEnd w:id="625"/>
    </w:p>
    <w:p>
      <w:pPr>
        <w:jc w:val="center"/>
        <w:rPr>
          <w:b/>
          <w:sz w:val="24"/>
        </w:rPr>
      </w:pPr>
      <w:r>
        <w:rPr>
          <w:b/>
          <w:sz w:val="24"/>
        </w:rPr>
        <w:t>符合性审查要求</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813"/>
        <w:gridCol w:w="6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4" w:type="pct"/>
            <w:vAlign w:val="center"/>
          </w:tcPr>
          <w:p>
            <w:pPr>
              <w:widowControl/>
              <w:jc w:val="center"/>
              <w:rPr>
                <w:b/>
                <w:color w:val="000000"/>
                <w:kern w:val="0"/>
                <w:sz w:val="24"/>
              </w:rPr>
            </w:pPr>
            <w:r>
              <w:rPr>
                <w:b/>
                <w:color w:val="000000"/>
                <w:kern w:val="0"/>
                <w:sz w:val="24"/>
              </w:rPr>
              <w:t>序号</w:t>
            </w:r>
          </w:p>
        </w:tc>
        <w:tc>
          <w:tcPr>
            <w:tcW w:w="976" w:type="pct"/>
            <w:vAlign w:val="center"/>
          </w:tcPr>
          <w:p>
            <w:pPr>
              <w:widowControl/>
              <w:jc w:val="center"/>
              <w:rPr>
                <w:b/>
                <w:color w:val="000000"/>
                <w:kern w:val="0"/>
                <w:sz w:val="24"/>
              </w:rPr>
            </w:pPr>
            <w:r>
              <w:rPr>
                <w:b/>
                <w:color w:val="000000"/>
                <w:kern w:val="0"/>
                <w:sz w:val="24"/>
              </w:rPr>
              <w:t>审查因素</w:t>
            </w:r>
          </w:p>
        </w:tc>
        <w:tc>
          <w:tcPr>
            <w:tcW w:w="3620" w:type="pct"/>
            <w:vAlign w:val="center"/>
          </w:tcPr>
          <w:p>
            <w:pPr>
              <w:widowControl/>
              <w:jc w:val="center"/>
              <w:rPr>
                <w:b/>
                <w:color w:val="000000"/>
                <w:kern w:val="0"/>
                <w:sz w:val="24"/>
              </w:rPr>
            </w:pPr>
            <w:r>
              <w:rPr>
                <w:b/>
                <w:color w:val="000000"/>
                <w:kern w:val="0"/>
                <w:sz w:val="24"/>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w:t>
            </w:r>
          </w:p>
        </w:tc>
        <w:tc>
          <w:tcPr>
            <w:tcW w:w="976" w:type="pct"/>
            <w:vAlign w:val="center"/>
          </w:tcPr>
          <w:p>
            <w:pPr>
              <w:widowControl/>
              <w:jc w:val="left"/>
              <w:rPr>
                <w:color w:val="000000"/>
                <w:kern w:val="0"/>
                <w:sz w:val="24"/>
              </w:rPr>
            </w:pPr>
            <w:r>
              <w:rPr>
                <w:rFonts w:hint="eastAsia"/>
                <w:color w:val="000000"/>
                <w:kern w:val="0"/>
                <w:sz w:val="24"/>
              </w:rPr>
              <w:t>响应函、</w:t>
            </w:r>
            <w:r>
              <w:rPr>
                <w:rFonts w:hint="eastAsia"/>
                <w:color w:val="000000"/>
                <w:sz w:val="24"/>
              </w:rPr>
              <w:t>法定代表人资格证明书和政府采购供应商信用承诺书</w:t>
            </w:r>
          </w:p>
        </w:tc>
        <w:tc>
          <w:tcPr>
            <w:tcW w:w="3620" w:type="pct"/>
            <w:vAlign w:val="center"/>
          </w:tcPr>
          <w:p>
            <w:pPr>
              <w:widowControl/>
              <w:jc w:val="left"/>
              <w:rPr>
                <w:color w:val="000000"/>
                <w:kern w:val="0"/>
                <w:sz w:val="24"/>
              </w:rPr>
            </w:pPr>
            <w:r>
              <w:rPr>
                <w:color w:val="000000"/>
                <w:kern w:val="0"/>
                <w:sz w:val="24"/>
              </w:rPr>
              <w:t>按谈判文件要求提供</w:t>
            </w:r>
            <w:r>
              <w:rPr>
                <w:rFonts w:hint="eastAsia"/>
                <w:color w:val="000000"/>
                <w:kern w:val="0"/>
                <w:sz w:val="24"/>
              </w:rPr>
              <w:t>响应函、</w:t>
            </w:r>
            <w:r>
              <w:rPr>
                <w:rFonts w:hint="eastAsia"/>
                <w:color w:val="000000"/>
                <w:sz w:val="24"/>
              </w:rPr>
              <w:t>法定代表人资格证明书和政府采购供应商信用承诺书</w:t>
            </w:r>
            <w:r>
              <w:rPr>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2</w:t>
            </w:r>
          </w:p>
        </w:tc>
        <w:tc>
          <w:tcPr>
            <w:tcW w:w="976" w:type="pct"/>
            <w:vAlign w:val="center"/>
          </w:tcPr>
          <w:p>
            <w:pPr>
              <w:widowControl/>
              <w:jc w:val="left"/>
              <w:rPr>
                <w:color w:val="000000"/>
                <w:kern w:val="0"/>
                <w:sz w:val="24"/>
              </w:rPr>
            </w:pPr>
            <w:r>
              <w:rPr>
                <w:color w:val="000000"/>
                <w:kern w:val="0"/>
                <w:sz w:val="24"/>
              </w:rPr>
              <w:t>响应完整性</w:t>
            </w:r>
          </w:p>
        </w:tc>
        <w:tc>
          <w:tcPr>
            <w:tcW w:w="3620" w:type="pct"/>
            <w:vAlign w:val="center"/>
          </w:tcPr>
          <w:p>
            <w:pPr>
              <w:widowControl/>
              <w:jc w:val="left"/>
              <w:rPr>
                <w:color w:val="000000"/>
                <w:kern w:val="0"/>
                <w:sz w:val="24"/>
              </w:rPr>
            </w:pPr>
            <w:r>
              <w:rPr>
                <w:rFonts w:hint="eastAsia"/>
                <w:sz w:val="24"/>
              </w:rPr>
              <w:t>未</w:t>
            </w:r>
            <w:r>
              <w:rPr>
                <w:sz w:val="24"/>
              </w:rPr>
              <w:t>将一个采购包中的内容拆开响应；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3</w:t>
            </w:r>
          </w:p>
        </w:tc>
        <w:tc>
          <w:tcPr>
            <w:tcW w:w="976" w:type="pct"/>
            <w:vAlign w:val="center"/>
          </w:tcPr>
          <w:p>
            <w:pPr>
              <w:widowControl/>
              <w:jc w:val="left"/>
              <w:rPr>
                <w:color w:val="000000"/>
                <w:kern w:val="0"/>
                <w:sz w:val="24"/>
              </w:rPr>
            </w:pPr>
            <w:r>
              <w:rPr>
                <w:color w:val="000000"/>
                <w:kern w:val="0"/>
                <w:sz w:val="24"/>
              </w:rPr>
              <w:t>响应报价</w:t>
            </w:r>
          </w:p>
        </w:tc>
        <w:tc>
          <w:tcPr>
            <w:tcW w:w="3620" w:type="pct"/>
            <w:vAlign w:val="center"/>
          </w:tcPr>
          <w:p>
            <w:pPr>
              <w:widowControl/>
              <w:jc w:val="left"/>
              <w:rPr>
                <w:color w:val="000000"/>
                <w:kern w:val="0"/>
                <w:sz w:val="24"/>
              </w:rPr>
            </w:pPr>
            <w:r>
              <w:rPr>
                <w:color w:val="000000"/>
                <w:kern w:val="0"/>
                <w:sz w:val="24"/>
              </w:rPr>
              <w:t>响应报价</w:t>
            </w:r>
            <w:r>
              <w:rPr>
                <w:rFonts w:hint="eastAsia"/>
                <w:color w:val="000000"/>
                <w:kern w:val="0"/>
                <w:sz w:val="24"/>
              </w:rPr>
              <w:t>未</w:t>
            </w:r>
            <w:r>
              <w:rPr>
                <w:color w:val="000000"/>
                <w:sz w:val="24"/>
              </w:rPr>
              <w:t>超过谈判文件中规定的项目/采购包预算金额或者项目/采购包最高限价</w:t>
            </w:r>
            <w:r>
              <w:rPr>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4</w:t>
            </w:r>
          </w:p>
        </w:tc>
        <w:tc>
          <w:tcPr>
            <w:tcW w:w="976" w:type="pct"/>
            <w:vAlign w:val="center"/>
          </w:tcPr>
          <w:p>
            <w:pPr>
              <w:widowControl/>
              <w:jc w:val="left"/>
              <w:rPr>
                <w:color w:val="000000"/>
                <w:kern w:val="0"/>
                <w:sz w:val="24"/>
              </w:rPr>
            </w:pPr>
            <w:r>
              <w:rPr>
                <w:color w:val="000000"/>
                <w:kern w:val="0"/>
                <w:sz w:val="24"/>
              </w:rPr>
              <w:t>报价唯一性</w:t>
            </w:r>
          </w:p>
        </w:tc>
        <w:tc>
          <w:tcPr>
            <w:tcW w:w="3620" w:type="pct"/>
            <w:vAlign w:val="center"/>
          </w:tcPr>
          <w:p>
            <w:pPr>
              <w:widowControl/>
              <w:jc w:val="left"/>
              <w:rPr>
                <w:color w:val="000000"/>
                <w:kern w:val="0"/>
                <w:sz w:val="24"/>
              </w:rPr>
            </w:pPr>
            <w:r>
              <w:rPr>
                <w:color w:val="000000"/>
                <w:kern w:val="0"/>
                <w:sz w:val="24"/>
              </w:rPr>
              <w:t>响应文件</w:t>
            </w:r>
            <w:r>
              <w:rPr>
                <w:rFonts w:hint="eastAsia"/>
                <w:color w:val="000000"/>
                <w:kern w:val="0"/>
                <w:sz w:val="24"/>
              </w:rPr>
              <w:t>未</w:t>
            </w:r>
            <w:r>
              <w:rPr>
                <w:rFonts w:hint="eastAsia"/>
                <w:sz w:val="24"/>
              </w:rPr>
              <w:t>出现可选择性或可调整的报价（谈判文件另有规定的除外）</w:t>
            </w:r>
            <w:r>
              <w:rPr>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5</w:t>
            </w:r>
          </w:p>
        </w:tc>
        <w:tc>
          <w:tcPr>
            <w:tcW w:w="976" w:type="pct"/>
            <w:vAlign w:val="center"/>
          </w:tcPr>
          <w:p>
            <w:pPr>
              <w:widowControl/>
              <w:jc w:val="left"/>
              <w:rPr>
                <w:color w:val="000000"/>
                <w:kern w:val="0"/>
                <w:sz w:val="24"/>
              </w:rPr>
            </w:pPr>
            <w:r>
              <w:rPr>
                <w:color w:val="000000"/>
                <w:kern w:val="0"/>
                <w:sz w:val="24"/>
              </w:rPr>
              <w:t>响应有效期</w:t>
            </w:r>
          </w:p>
        </w:tc>
        <w:tc>
          <w:tcPr>
            <w:tcW w:w="3620" w:type="pct"/>
            <w:vAlign w:val="center"/>
          </w:tcPr>
          <w:p>
            <w:pPr>
              <w:widowControl/>
              <w:jc w:val="left"/>
              <w:rPr>
                <w:color w:val="000000"/>
                <w:kern w:val="0"/>
                <w:sz w:val="24"/>
              </w:rPr>
            </w:pPr>
            <w:r>
              <w:rPr>
                <w:color w:val="000000"/>
                <w:kern w:val="0"/>
                <w:sz w:val="24"/>
              </w:rPr>
              <w:t>响应文件中承诺的响应有效期</w:t>
            </w:r>
            <w:r>
              <w:rPr>
                <w:rFonts w:hint="eastAsia"/>
                <w:color w:val="000000"/>
                <w:kern w:val="0"/>
                <w:sz w:val="24"/>
              </w:rPr>
              <w:t>满足</w:t>
            </w:r>
            <w:r>
              <w:rPr>
                <w:color w:val="000000"/>
                <w:kern w:val="0"/>
                <w:sz w:val="24"/>
              </w:rPr>
              <w:t>谈判文件中载明的响应有效期的；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6</w:t>
            </w:r>
          </w:p>
        </w:tc>
        <w:tc>
          <w:tcPr>
            <w:tcW w:w="976" w:type="pct"/>
            <w:vAlign w:val="center"/>
          </w:tcPr>
          <w:p>
            <w:pPr>
              <w:widowControl/>
              <w:jc w:val="left"/>
              <w:rPr>
                <w:color w:val="000000"/>
                <w:kern w:val="0"/>
                <w:sz w:val="24"/>
              </w:rPr>
            </w:pPr>
            <w:r>
              <w:rPr>
                <w:color w:val="000000"/>
                <w:kern w:val="0"/>
                <w:sz w:val="24"/>
              </w:rPr>
              <w:t>签署、加盖公章</w:t>
            </w:r>
          </w:p>
        </w:tc>
        <w:tc>
          <w:tcPr>
            <w:tcW w:w="3620" w:type="pct"/>
            <w:vAlign w:val="center"/>
          </w:tcPr>
          <w:p>
            <w:pPr>
              <w:widowControl/>
              <w:jc w:val="left"/>
              <w:rPr>
                <w:color w:val="000000"/>
                <w:kern w:val="0"/>
                <w:sz w:val="24"/>
              </w:rPr>
            </w:pPr>
            <w:r>
              <w:rPr>
                <w:color w:val="000000"/>
                <w:kern w:val="0"/>
                <w:sz w:val="24"/>
              </w:rPr>
              <w:t>按照谈判文件要求签署、加盖公章的；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rFonts w:hint="eastAsia"/>
                <w:color w:val="000000"/>
                <w:kern w:val="0"/>
                <w:sz w:val="24"/>
              </w:rPr>
              <w:t>7</w:t>
            </w:r>
          </w:p>
        </w:tc>
        <w:tc>
          <w:tcPr>
            <w:tcW w:w="976" w:type="pct"/>
            <w:vAlign w:val="center"/>
          </w:tcPr>
          <w:p>
            <w:pPr>
              <w:widowControl/>
              <w:jc w:val="left"/>
              <w:rPr>
                <w:color w:val="000000"/>
                <w:kern w:val="0"/>
                <w:sz w:val="24"/>
              </w:rPr>
            </w:pPr>
            <w:r>
              <w:rPr>
                <w:rFonts w:hint="eastAsia"/>
                <w:color w:val="000000"/>
                <w:kern w:val="0"/>
                <w:sz w:val="24"/>
              </w:rPr>
              <w:t>实质性格式</w:t>
            </w:r>
          </w:p>
        </w:tc>
        <w:tc>
          <w:tcPr>
            <w:tcW w:w="3620" w:type="pct"/>
            <w:vAlign w:val="center"/>
          </w:tcPr>
          <w:p>
            <w:pPr>
              <w:widowControl/>
              <w:jc w:val="left"/>
              <w:rPr>
                <w:color w:val="000000"/>
                <w:kern w:val="0"/>
                <w:sz w:val="24"/>
              </w:rPr>
            </w:pPr>
            <w:r>
              <w:rPr>
                <w:rFonts w:hint="eastAsia"/>
                <w:kern w:val="0"/>
                <w:sz w:val="24"/>
              </w:rPr>
              <w:t>标记为</w:t>
            </w:r>
            <w:r>
              <w:rPr>
                <w:kern w:val="0"/>
                <w:sz w:val="24"/>
              </w:rPr>
              <w:t>“实质性格式”的</w:t>
            </w:r>
            <w:r>
              <w:rPr>
                <w:rFonts w:hint="eastAsia"/>
                <w:kern w:val="0"/>
                <w:sz w:val="24"/>
              </w:rPr>
              <w:t>文件均按</w:t>
            </w:r>
            <w:r>
              <w:rPr>
                <w:kern w:val="0"/>
                <w:sz w:val="24"/>
              </w:rPr>
              <w:t>谈判文件</w:t>
            </w:r>
            <w:r>
              <w:rPr>
                <w:rFonts w:hint="eastAsia"/>
                <w:kern w:val="0"/>
                <w:sz w:val="24"/>
              </w:rPr>
              <w:t>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8</w:t>
            </w:r>
          </w:p>
        </w:tc>
        <w:tc>
          <w:tcPr>
            <w:tcW w:w="976" w:type="pct"/>
            <w:vAlign w:val="center"/>
          </w:tcPr>
          <w:p>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3620" w:type="pct"/>
            <w:vAlign w:val="center"/>
          </w:tcPr>
          <w:p>
            <w:pPr>
              <w:widowControl/>
              <w:jc w:val="left"/>
              <w:rPr>
                <w:color w:val="000000"/>
                <w:kern w:val="0"/>
                <w:sz w:val="24"/>
              </w:rPr>
            </w:pPr>
            <w:r>
              <w:rPr>
                <w:color w:val="000000"/>
                <w:kern w:val="0"/>
                <w:sz w:val="24"/>
              </w:rPr>
              <w:t>响应文件满足谈判文件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9</w:t>
            </w:r>
          </w:p>
        </w:tc>
        <w:tc>
          <w:tcPr>
            <w:tcW w:w="976" w:type="pct"/>
            <w:vAlign w:val="center"/>
          </w:tcPr>
          <w:p>
            <w:pPr>
              <w:widowControl/>
              <w:jc w:val="left"/>
              <w:rPr>
                <w:color w:val="000000"/>
                <w:kern w:val="0"/>
                <w:sz w:val="24"/>
              </w:rPr>
            </w:pPr>
            <w:r>
              <w:rPr>
                <w:color w:val="000000"/>
                <w:kern w:val="0"/>
                <w:sz w:val="24"/>
              </w:rPr>
              <w:t>分包承担主体资质（如有）</w:t>
            </w:r>
          </w:p>
        </w:tc>
        <w:tc>
          <w:tcPr>
            <w:tcW w:w="3620" w:type="pct"/>
            <w:vAlign w:val="center"/>
          </w:tcPr>
          <w:p>
            <w:pPr>
              <w:widowControl/>
              <w:jc w:val="left"/>
              <w:rPr>
                <w:color w:val="000000"/>
                <w:kern w:val="0"/>
                <w:sz w:val="24"/>
              </w:rPr>
            </w:pPr>
            <w:r>
              <w:rPr>
                <w:sz w:val="24"/>
              </w:rPr>
              <w:t>分包承担主体具备《供应商须知资料表》载明的资质条件</w:t>
            </w:r>
            <w:r>
              <w:rPr>
                <w:rFonts w:hint="eastAsia"/>
                <w:sz w:val="24"/>
              </w:rPr>
              <w:t>且</w:t>
            </w:r>
            <w:r>
              <w:rPr>
                <w:sz w:val="24"/>
              </w:rPr>
              <w:t>提供</w:t>
            </w:r>
            <w:r>
              <w:rPr>
                <w:rFonts w:hint="eastAsia"/>
                <w:sz w:val="24"/>
              </w:rPr>
              <w:t>了</w:t>
            </w:r>
            <w:r>
              <w:rPr>
                <w:sz w:val="24"/>
              </w:rPr>
              <w:t>资质证书电子件</w:t>
            </w:r>
            <w:r>
              <w:rPr>
                <w:rFonts w:hint="eastAsia"/>
                <w:sz w:val="24"/>
              </w:rPr>
              <w:t>（如有）</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10</w:t>
            </w:r>
          </w:p>
        </w:tc>
        <w:tc>
          <w:tcPr>
            <w:tcW w:w="976" w:type="pct"/>
            <w:vAlign w:val="center"/>
          </w:tcPr>
          <w:p>
            <w:pPr>
              <w:widowControl/>
              <w:jc w:val="left"/>
              <w:rPr>
                <w:color w:val="000000"/>
                <w:kern w:val="0"/>
                <w:sz w:val="24"/>
              </w:rPr>
            </w:pPr>
            <w:r>
              <w:rPr>
                <w:color w:val="000000"/>
                <w:kern w:val="0"/>
                <w:sz w:val="24"/>
              </w:rPr>
              <w:t>分包意向协议</w:t>
            </w:r>
          </w:p>
          <w:p>
            <w:pPr>
              <w:widowControl/>
              <w:jc w:val="left"/>
              <w:rPr>
                <w:color w:val="000000"/>
                <w:kern w:val="0"/>
                <w:sz w:val="24"/>
              </w:rPr>
            </w:pPr>
            <w:r>
              <w:rPr>
                <w:color w:val="000000"/>
                <w:kern w:val="0"/>
                <w:sz w:val="24"/>
              </w:rPr>
              <w:t>（如有）</w:t>
            </w:r>
          </w:p>
        </w:tc>
        <w:tc>
          <w:tcPr>
            <w:tcW w:w="3620" w:type="pct"/>
            <w:vAlign w:val="center"/>
          </w:tcPr>
          <w:p>
            <w:pPr>
              <w:widowControl/>
              <w:jc w:val="left"/>
              <w:rPr>
                <w:color w:val="000000"/>
                <w:kern w:val="0"/>
                <w:sz w:val="24"/>
              </w:rPr>
            </w:pPr>
            <w:r>
              <w:rPr>
                <w:color w:val="000000"/>
                <w:kern w:val="0"/>
                <w:sz w:val="24"/>
              </w:rPr>
              <w:t>按谈判文件规定签订并提供分包意向协议原件的电子件的；</w:t>
            </w:r>
            <w:r>
              <w:rPr>
                <w:rFonts w:hint="eastAsia"/>
                <w:sz w:val="24"/>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11</w:t>
            </w:r>
          </w:p>
        </w:tc>
        <w:tc>
          <w:tcPr>
            <w:tcW w:w="976" w:type="pct"/>
            <w:vAlign w:val="center"/>
          </w:tcPr>
          <w:p>
            <w:pPr>
              <w:widowControl/>
              <w:jc w:val="left"/>
              <w:rPr>
                <w:color w:val="000000"/>
                <w:kern w:val="0"/>
                <w:sz w:val="24"/>
              </w:rPr>
            </w:pPr>
            <w:r>
              <w:rPr>
                <w:color w:val="000000"/>
                <w:kern w:val="0"/>
                <w:sz w:val="24"/>
              </w:rPr>
              <w:t>报价的修正（如有）</w:t>
            </w:r>
          </w:p>
        </w:tc>
        <w:tc>
          <w:tcPr>
            <w:tcW w:w="3620" w:type="pct"/>
            <w:vAlign w:val="center"/>
          </w:tcPr>
          <w:p>
            <w:pPr>
              <w:widowControl/>
              <w:jc w:val="left"/>
              <w:rPr>
                <w:color w:val="000000"/>
                <w:kern w:val="0"/>
                <w:sz w:val="24"/>
              </w:rPr>
            </w:pPr>
            <w:r>
              <w:rPr>
                <w:rFonts w:hint="eastAsia"/>
                <w:color w:val="000000"/>
                <w:kern w:val="0"/>
                <w:sz w:val="24"/>
              </w:rPr>
              <w:t>不涉及报价修正</w:t>
            </w:r>
            <w:r>
              <w:rPr>
                <w:color w:val="000000"/>
                <w:kern w:val="0"/>
                <w:sz w:val="24"/>
              </w:rPr>
              <w:t>，或响应文件报价出现前后不一致</w:t>
            </w:r>
            <w:r>
              <w:rPr>
                <w:rFonts w:hint="eastAsia"/>
                <w:color w:val="000000"/>
                <w:kern w:val="0"/>
                <w:sz w:val="24"/>
              </w:rPr>
              <w:t>时</w:t>
            </w:r>
            <w:r>
              <w:rPr>
                <w:color w:val="000000"/>
                <w:kern w:val="0"/>
                <w:sz w:val="24"/>
              </w:rPr>
              <w:t>，供应商对修正后的报价予</w:t>
            </w:r>
            <w:r>
              <w:rPr>
                <w:rFonts w:hint="eastAsia"/>
                <w:color w:val="000000"/>
                <w:kern w:val="0"/>
                <w:sz w:val="24"/>
              </w:rPr>
              <w:t>以</w:t>
            </w:r>
            <w:r>
              <w:rPr>
                <w:color w:val="000000"/>
                <w:kern w:val="0"/>
                <w:sz w:val="24"/>
              </w:rPr>
              <w:t>确认；（如有）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w:t>
            </w:r>
            <w:r>
              <w:rPr>
                <w:rFonts w:hint="eastAsia"/>
                <w:color w:val="000000"/>
                <w:kern w:val="0"/>
                <w:sz w:val="24"/>
              </w:rPr>
              <w:t>2</w:t>
            </w:r>
          </w:p>
        </w:tc>
        <w:tc>
          <w:tcPr>
            <w:tcW w:w="976" w:type="pct"/>
            <w:vAlign w:val="center"/>
          </w:tcPr>
          <w:p>
            <w:pPr>
              <w:widowControl/>
              <w:jc w:val="left"/>
              <w:rPr>
                <w:color w:val="000000"/>
                <w:kern w:val="0"/>
                <w:sz w:val="24"/>
              </w:rPr>
            </w:pPr>
            <w:r>
              <w:rPr>
                <w:color w:val="000000"/>
                <w:kern w:val="0"/>
                <w:sz w:val="24"/>
              </w:rPr>
              <w:t>进口产品</w:t>
            </w:r>
          </w:p>
          <w:p>
            <w:pPr>
              <w:widowControl/>
              <w:jc w:val="left"/>
              <w:rPr>
                <w:color w:val="000000"/>
                <w:kern w:val="0"/>
                <w:sz w:val="24"/>
              </w:rPr>
            </w:pPr>
            <w:r>
              <w:rPr>
                <w:color w:val="000000"/>
                <w:kern w:val="0"/>
                <w:sz w:val="24"/>
              </w:rPr>
              <w:t>（如有）</w:t>
            </w:r>
          </w:p>
        </w:tc>
        <w:tc>
          <w:tcPr>
            <w:tcW w:w="3620" w:type="pct"/>
            <w:vAlign w:val="center"/>
          </w:tcPr>
          <w:p>
            <w:pPr>
              <w:widowControl/>
              <w:jc w:val="left"/>
              <w:rPr>
                <w:color w:val="000000"/>
                <w:kern w:val="0"/>
                <w:sz w:val="24"/>
              </w:rPr>
            </w:pPr>
            <w:r>
              <w:rPr>
                <w:rFonts w:hint="eastAsia" w:ascii="宋体" w:hAnsi="宋体"/>
                <w:sz w:val="24"/>
              </w:rPr>
              <w:t>谈判文件</w:t>
            </w:r>
            <w:r>
              <w:rPr>
                <w:rFonts w:ascii="宋体" w:hAnsi="宋体"/>
                <w:sz w:val="24"/>
              </w:rPr>
              <w:t>不接受进口产品响应</w:t>
            </w:r>
            <w:r>
              <w:rPr>
                <w:rFonts w:hint="eastAsia" w:ascii="宋体" w:hAnsi="宋体"/>
                <w:sz w:val="24"/>
              </w:rPr>
              <w:t>的内容时</w:t>
            </w:r>
            <w:r>
              <w:rPr>
                <w:rFonts w:ascii="宋体" w:hAnsi="宋体"/>
                <w:sz w:val="24"/>
              </w:rPr>
              <w:t>，</w:t>
            </w:r>
            <w:r>
              <w:rPr>
                <w:rFonts w:hint="eastAsia" w:ascii="宋体" w:hAnsi="宋体"/>
                <w:sz w:val="24"/>
              </w:rPr>
              <w:t>供应商所投产品非进口产品的；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w:t>
            </w:r>
            <w:r>
              <w:rPr>
                <w:rFonts w:hint="eastAsia"/>
                <w:color w:val="000000"/>
                <w:kern w:val="0"/>
                <w:sz w:val="24"/>
              </w:rPr>
              <w:t>3</w:t>
            </w:r>
          </w:p>
        </w:tc>
        <w:tc>
          <w:tcPr>
            <w:tcW w:w="976" w:type="pct"/>
            <w:vAlign w:val="center"/>
          </w:tcPr>
          <w:p>
            <w:pPr>
              <w:widowControl/>
              <w:jc w:val="left"/>
              <w:rPr>
                <w:color w:val="000000"/>
                <w:kern w:val="0"/>
                <w:sz w:val="24"/>
              </w:rPr>
            </w:pPr>
            <w:r>
              <w:rPr>
                <w:color w:val="000000"/>
                <w:kern w:val="0"/>
                <w:sz w:val="24"/>
              </w:rPr>
              <w:t>国家有关部门对供应商的响应产品有强制性规定或要求的</w:t>
            </w:r>
          </w:p>
        </w:tc>
        <w:tc>
          <w:tcPr>
            <w:tcW w:w="3620" w:type="pct"/>
            <w:vAlign w:val="center"/>
          </w:tcPr>
          <w:p>
            <w:pPr>
              <w:widowControl/>
              <w:jc w:val="left"/>
              <w:rPr>
                <w:color w:val="000000"/>
                <w:kern w:val="0"/>
                <w:sz w:val="24"/>
              </w:rPr>
            </w:pPr>
            <w:r>
              <w:rPr>
                <w:color w:val="000000"/>
                <w:kern w:val="0"/>
                <w:sz w:val="24"/>
              </w:rPr>
              <w:t>国家有关部门对供应商的响应产品有强制性规定或要求的（如相应技术、安全、节能和环保等），供应商的响应产品</w:t>
            </w:r>
            <w:r>
              <w:rPr>
                <w:rFonts w:hint="eastAsia"/>
                <w:color w:val="000000"/>
                <w:kern w:val="0"/>
                <w:sz w:val="24"/>
              </w:rPr>
              <w:t>应</w:t>
            </w:r>
            <w:r>
              <w:rPr>
                <w:color w:val="000000"/>
                <w:kern w:val="0"/>
                <w:sz w:val="24"/>
              </w:rPr>
              <w:t>符合相应规定或要求</w:t>
            </w:r>
            <w:r>
              <w:rPr>
                <w:rFonts w:hint="eastAsia"/>
                <w:color w:val="000000"/>
                <w:kern w:val="0"/>
                <w:sz w:val="24"/>
              </w:rPr>
              <w:t>，并提供证明文件电子件：</w:t>
            </w:r>
          </w:p>
          <w:p>
            <w:pPr>
              <w:widowControl/>
              <w:jc w:val="left"/>
              <w:rPr>
                <w:color w:val="000000"/>
                <w:kern w:val="0"/>
                <w:sz w:val="24"/>
              </w:rPr>
            </w:pPr>
            <w:r>
              <w:rPr>
                <w:rFonts w:hint="eastAsia"/>
                <w:color w:val="000000"/>
                <w:kern w:val="0"/>
                <w:sz w:val="24"/>
              </w:rPr>
              <w:t>1）</w:t>
            </w:r>
            <w:r>
              <w:rPr>
                <w:color w:val="000000"/>
                <w:kern w:val="0"/>
                <w:sz w:val="24"/>
              </w:rPr>
              <w:t>采购的产品若属于《节能产品政府采购品目清单》范围中政府强制采购产品，则供应商所报产品必须获得国家确定的认证机构出具的、处于有效期之内的节能产品认证证书；</w:t>
            </w:r>
          </w:p>
          <w:p>
            <w:pPr>
              <w:widowControl/>
              <w:jc w:val="left"/>
              <w:rPr>
                <w:color w:val="000000"/>
                <w:kern w:val="0"/>
                <w:sz w:val="24"/>
              </w:rPr>
            </w:pPr>
            <w:r>
              <w:rPr>
                <w:rFonts w:hint="eastAsia"/>
                <w:color w:val="000000"/>
                <w:kern w:val="0"/>
                <w:sz w:val="24"/>
              </w:rPr>
              <w:t>2）</w:t>
            </w:r>
            <w:r>
              <w:rPr>
                <w:color w:val="000000"/>
                <w:kern w:val="0"/>
                <w:sz w:val="24"/>
              </w:rPr>
              <w:t>响应产品如涉及计算机信息系统安全专用产品的，须</w:t>
            </w:r>
            <w:r>
              <w:rPr>
                <w:rFonts w:hint="eastAsia"/>
                <w:color w:val="000000"/>
                <w:kern w:val="0"/>
                <w:sz w:val="24"/>
              </w:rPr>
              <w:t>提供</w:t>
            </w:r>
            <w:r>
              <w:rPr>
                <w:color w:val="000000"/>
                <w:kern w:val="0"/>
                <w:sz w:val="24"/>
              </w:rPr>
              <w:t>公安部颁发的计算机信息系统安全专用产品销售许可证；</w:t>
            </w:r>
          </w:p>
          <w:p>
            <w:pPr>
              <w:widowControl/>
              <w:jc w:val="left"/>
              <w:rPr>
                <w:color w:val="000000"/>
                <w:kern w:val="0"/>
                <w:sz w:val="24"/>
              </w:rPr>
            </w:pPr>
            <w:r>
              <w:rPr>
                <w:color w:val="000000"/>
                <w:kern w:val="0"/>
                <w:sz w:val="24"/>
              </w:rPr>
              <w:t>3</w:t>
            </w:r>
            <w:r>
              <w:rPr>
                <w:rFonts w:hint="eastAsia"/>
                <w:color w:val="000000"/>
                <w:kern w:val="0"/>
                <w:sz w:val="24"/>
              </w:rPr>
              <w:t>）</w:t>
            </w:r>
            <w:r>
              <w:rPr>
                <w:color w:val="000000"/>
                <w:kern w:val="0"/>
                <w:sz w:val="24"/>
              </w:rPr>
              <w:t>响应产品如有属于开展国家信息安全产品认证产品范围的，须</w:t>
            </w:r>
            <w:r>
              <w:rPr>
                <w:rFonts w:hint="eastAsia"/>
                <w:color w:val="000000"/>
                <w:kern w:val="0"/>
                <w:sz w:val="24"/>
              </w:rPr>
              <w:t>提供</w:t>
            </w:r>
            <w:r>
              <w:rPr>
                <w:color w:val="000000"/>
                <w:kern w:val="0"/>
                <w:sz w:val="24"/>
              </w:rPr>
              <w:t>由中国网络安全审查技术与认证中心（原中国信息安全认证中心）按国家标准认证颁发的有效认证证书等）；</w:t>
            </w:r>
          </w:p>
          <w:p>
            <w:pPr>
              <w:widowControl/>
              <w:jc w:val="left"/>
              <w:rPr>
                <w:color w:val="000000"/>
                <w:kern w:val="0"/>
                <w:sz w:val="24"/>
              </w:rPr>
            </w:pPr>
            <w:r>
              <w:rPr>
                <w:rFonts w:hint="eastAsia"/>
                <w:sz w:val="24"/>
              </w:rPr>
              <w:t>4）</w:t>
            </w:r>
            <w:r>
              <w:rPr>
                <w:sz w:val="24"/>
              </w:rPr>
              <w:t>国家有特殊信息安全要求的项目，采购产品涉及无线局域网产品和含有无线局域网功能的计算机、通信设备、打印机、复印机、投影仪等产品的，响应产品须为符合国家无线局域网安全标准（GB 15629.11/1102）并通过国家产品认证的产品；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15</w:t>
            </w:r>
          </w:p>
        </w:tc>
        <w:tc>
          <w:tcPr>
            <w:tcW w:w="976" w:type="pct"/>
            <w:vAlign w:val="center"/>
          </w:tcPr>
          <w:p>
            <w:pPr>
              <w:widowControl/>
              <w:jc w:val="left"/>
              <w:rPr>
                <w:color w:val="000000"/>
                <w:kern w:val="0"/>
                <w:sz w:val="24"/>
              </w:rPr>
            </w:pPr>
            <w:r>
              <w:rPr>
                <w:color w:val="000000"/>
                <w:kern w:val="0"/>
                <w:sz w:val="24"/>
              </w:rPr>
              <w:t>公平竞争</w:t>
            </w:r>
          </w:p>
        </w:tc>
        <w:tc>
          <w:tcPr>
            <w:tcW w:w="3620" w:type="pct"/>
            <w:vAlign w:val="center"/>
          </w:tcPr>
          <w:p>
            <w:pPr>
              <w:widowControl/>
              <w:jc w:val="left"/>
              <w:rPr>
                <w:color w:val="000000"/>
                <w:kern w:val="0"/>
                <w:sz w:val="24"/>
              </w:rPr>
            </w:pPr>
            <w:r>
              <w:rPr>
                <w:color w:val="000000"/>
                <w:sz w:val="24"/>
              </w:rPr>
              <w:t>供应商遵循公平竞争的原则，不存在恶意串通，妨碍其他供应商的竞争行为，不存在损害采购人或者其他供应商的合法权益情形的；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16</w:t>
            </w:r>
          </w:p>
        </w:tc>
        <w:tc>
          <w:tcPr>
            <w:tcW w:w="976" w:type="pct"/>
            <w:vAlign w:val="center"/>
          </w:tcPr>
          <w:p>
            <w:pPr>
              <w:widowControl/>
              <w:jc w:val="left"/>
              <w:rPr>
                <w:color w:val="000000"/>
                <w:kern w:val="0"/>
                <w:sz w:val="24"/>
              </w:rPr>
            </w:pPr>
            <w:r>
              <w:rPr>
                <w:color w:val="000000"/>
                <w:kern w:val="0"/>
                <w:sz w:val="24"/>
              </w:rPr>
              <w:t>串通响应</w:t>
            </w:r>
          </w:p>
        </w:tc>
        <w:tc>
          <w:tcPr>
            <w:tcW w:w="3620" w:type="pct"/>
            <w:vAlign w:val="center"/>
          </w:tcPr>
          <w:p>
            <w:pPr>
              <w:widowControl/>
              <w:jc w:val="left"/>
              <w:rPr>
                <w:color w:val="000000"/>
                <w:kern w:val="0"/>
                <w:sz w:val="24"/>
              </w:rPr>
            </w:pPr>
            <w:r>
              <w:rPr>
                <w:rFonts w:hint="eastAsia"/>
                <w:color w:val="000000"/>
                <w:sz w:val="24"/>
              </w:rPr>
              <w:t>不存在《政府采购货物和服务招标响应管理办法》视为供应商串通响应的情形：（一）不同供应商的响应文件由同一单位或者个人编制</w:t>
            </w:r>
            <w:r>
              <w:rPr>
                <w:rFonts w:hint="eastAsia" w:ascii="宋体" w:hAnsi="宋体"/>
                <w:sz w:val="24"/>
              </w:rPr>
              <w:t>（包含使用同一MAC地址的计算机制作电子响应文件的情形）</w:t>
            </w:r>
            <w:r>
              <w:rPr>
                <w:rFonts w:hint="eastAsia"/>
                <w:color w:val="000000"/>
                <w:sz w:val="24"/>
              </w:rPr>
              <w:t>；（二）不同供应商委托同一单位或者个人办理响应事宜</w:t>
            </w:r>
            <w:r>
              <w:rPr>
                <w:rFonts w:hint="eastAsia" w:ascii="宋体" w:hAnsi="宋体"/>
                <w:sz w:val="24"/>
              </w:rPr>
              <w:t>（包含使用同一MAC地址的计算机提交或者解密电子响应文件的情形）</w:t>
            </w:r>
            <w:r>
              <w:rPr>
                <w:rFonts w:hint="eastAsia"/>
                <w:color w:val="000000"/>
                <w:sz w:val="24"/>
              </w:rPr>
              <w:t>；（三）不同供应商的响应文件载明的项目管理成员或者联系人员为同一人；（四）不同供应商的响应文件异常一致或者响应报价呈规律 性差异；（五）不同供应商的响应文件相互混装；（六）不同供应商的响应保证金从同一单位或者个人的账户转出</w:t>
            </w:r>
            <w:r>
              <w:rPr>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4" w:type="pct"/>
            <w:vAlign w:val="center"/>
          </w:tcPr>
          <w:p>
            <w:pPr>
              <w:widowControl/>
              <w:jc w:val="center"/>
              <w:rPr>
                <w:color w:val="000000"/>
                <w:kern w:val="0"/>
                <w:sz w:val="24"/>
              </w:rPr>
            </w:pPr>
            <w:r>
              <w:rPr>
                <w:color w:val="000000"/>
                <w:kern w:val="0"/>
                <w:sz w:val="24"/>
              </w:rPr>
              <w:t>17</w:t>
            </w:r>
          </w:p>
        </w:tc>
        <w:tc>
          <w:tcPr>
            <w:tcW w:w="976" w:type="pct"/>
            <w:vAlign w:val="center"/>
          </w:tcPr>
          <w:p>
            <w:pPr>
              <w:widowControl/>
              <w:jc w:val="left"/>
              <w:rPr>
                <w:color w:val="000000"/>
                <w:kern w:val="0"/>
                <w:sz w:val="24"/>
              </w:rPr>
            </w:pPr>
            <w:r>
              <w:rPr>
                <w:color w:val="000000"/>
                <w:kern w:val="0"/>
                <w:sz w:val="24"/>
              </w:rPr>
              <w:t>附加条件</w:t>
            </w:r>
          </w:p>
        </w:tc>
        <w:tc>
          <w:tcPr>
            <w:tcW w:w="3620" w:type="pct"/>
            <w:vAlign w:val="center"/>
          </w:tcPr>
          <w:p>
            <w:pPr>
              <w:widowControl/>
              <w:jc w:val="left"/>
              <w:rPr>
                <w:color w:val="000000"/>
                <w:kern w:val="0"/>
                <w:sz w:val="24"/>
              </w:rPr>
            </w:pPr>
            <w:r>
              <w:rPr>
                <w:color w:val="000000"/>
                <w:kern w:val="0"/>
                <w:sz w:val="24"/>
              </w:rPr>
              <w:t>响应文件</w:t>
            </w:r>
            <w:r>
              <w:rPr>
                <w:rFonts w:hint="eastAsia"/>
                <w:color w:val="000000"/>
                <w:kern w:val="0"/>
                <w:sz w:val="24"/>
              </w:rPr>
              <w:t>未</w:t>
            </w:r>
            <w:r>
              <w:rPr>
                <w:color w:val="000000"/>
                <w:kern w:val="0"/>
                <w:sz w:val="24"/>
              </w:rPr>
              <w:t>含有采购人不能接受的附加条件的；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jc w:val="center"/>
        </w:trPr>
        <w:tc>
          <w:tcPr>
            <w:tcW w:w="404" w:type="pct"/>
            <w:vAlign w:val="center"/>
          </w:tcPr>
          <w:p>
            <w:pPr>
              <w:widowControl/>
              <w:jc w:val="center"/>
              <w:rPr>
                <w:color w:val="000000"/>
                <w:kern w:val="0"/>
                <w:sz w:val="24"/>
              </w:rPr>
            </w:pPr>
            <w:r>
              <w:rPr>
                <w:rFonts w:hint="eastAsia"/>
                <w:color w:val="000000"/>
                <w:kern w:val="0"/>
                <w:sz w:val="24"/>
              </w:rPr>
              <w:t>1</w:t>
            </w:r>
            <w:r>
              <w:rPr>
                <w:color w:val="000000"/>
                <w:kern w:val="0"/>
                <w:sz w:val="24"/>
              </w:rPr>
              <w:t>8</w:t>
            </w:r>
          </w:p>
        </w:tc>
        <w:tc>
          <w:tcPr>
            <w:tcW w:w="976" w:type="pct"/>
            <w:vAlign w:val="center"/>
          </w:tcPr>
          <w:p>
            <w:pPr>
              <w:widowControl/>
              <w:jc w:val="left"/>
              <w:rPr>
                <w:color w:val="000000"/>
                <w:kern w:val="0"/>
                <w:sz w:val="24"/>
              </w:rPr>
            </w:pPr>
            <w:r>
              <w:rPr>
                <w:color w:val="000000"/>
                <w:kern w:val="0"/>
                <w:sz w:val="24"/>
              </w:rPr>
              <w:t>其他无效情形</w:t>
            </w:r>
          </w:p>
        </w:tc>
        <w:tc>
          <w:tcPr>
            <w:tcW w:w="3620" w:type="pct"/>
            <w:vAlign w:val="center"/>
          </w:tcPr>
          <w:p>
            <w:pPr>
              <w:widowControl/>
              <w:numPr>
                <w:ilvl w:val="0"/>
                <w:numId w:val="12"/>
              </w:numPr>
              <w:jc w:val="left"/>
              <w:rPr>
                <w:rFonts w:ascii="宋体" w:hAnsi="宋体" w:cs="宋体"/>
                <w:sz w:val="24"/>
              </w:rPr>
            </w:pPr>
            <w:r>
              <w:rPr>
                <w:rFonts w:ascii="宋体" w:hAnsi="宋体" w:cs="宋体"/>
                <w:sz w:val="24"/>
              </w:rPr>
              <w:t>投标报价超过控制价或任一项目综合单价为0、负数、超过控制单价或缺项者</w:t>
            </w:r>
            <w:r>
              <w:rPr>
                <w:rFonts w:hint="eastAsia" w:ascii="宋体" w:hAnsi="宋体" w:cs="宋体"/>
                <w:sz w:val="24"/>
              </w:rPr>
              <w:t>；</w:t>
            </w:r>
          </w:p>
          <w:p>
            <w:pPr>
              <w:widowControl/>
              <w:numPr>
                <w:ilvl w:val="0"/>
                <w:numId w:val="12"/>
              </w:numPr>
              <w:jc w:val="left"/>
              <w:rPr>
                <w:sz w:val="24"/>
                <w:lang w:val="zh-CN"/>
              </w:rPr>
            </w:pPr>
            <w:r>
              <w:rPr>
                <w:rFonts w:hint="eastAsia"/>
                <w:sz w:val="24"/>
                <w:lang w:val="zh-CN"/>
              </w:rPr>
              <w:t>第二轮报价超过首轮报价的；</w:t>
            </w:r>
          </w:p>
          <w:p>
            <w:pPr>
              <w:widowControl/>
              <w:numPr>
                <w:ilvl w:val="0"/>
                <w:numId w:val="12"/>
              </w:numPr>
              <w:jc w:val="left"/>
              <w:rPr>
                <w:sz w:val="24"/>
                <w:lang w:val="zh-CN"/>
              </w:rPr>
            </w:pPr>
            <w:r>
              <w:rPr>
                <w:rFonts w:hint="eastAsia"/>
                <w:sz w:val="24"/>
                <w:lang w:val="zh-CN"/>
              </w:rPr>
              <w:t>响应文件未按规定标志、密封、盖章的；</w:t>
            </w:r>
          </w:p>
          <w:p>
            <w:pPr>
              <w:widowControl/>
              <w:numPr>
                <w:ilvl w:val="0"/>
                <w:numId w:val="12"/>
              </w:numPr>
              <w:jc w:val="left"/>
              <w:rPr>
                <w:sz w:val="24"/>
                <w:lang w:val="zh-CN"/>
              </w:rPr>
            </w:pPr>
            <w:r>
              <w:rPr>
                <w:rFonts w:hint="eastAsia"/>
                <w:sz w:val="24"/>
                <w:lang w:val="zh-CN"/>
              </w:rPr>
              <w:t>响应文件未加盖响应人公章的；</w:t>
            </w:r>
          </w:p>
          <w:p>
            <w:pPr>
              <w:widowControl/>
              <w:numPr>
                <w:ilvl w:val="0"/>
                <w:numId w:val="12"/>
              </w:numPr>
              <w:jc w:val="left"/>
              <w:rPr>
                <w:sz w:val="24"/>
                <w:lang w:val="zh-CN"/>
              </w:rPr>
            </w:pPr>
            <w:r>
              <w:rPr>
                <w:rFonts w:hint="eastAsia"/>
                <w:sz w:val="24"/>
                <w:lang w:val="zh-CN"/>
              </w:rPr>
              <w:t>授权委托书无响应人公章、法定代表人的印鉴（或签名），或委托书非原件的；</w:t>
            </w:r>
          </w:p>
          <w:p>
            <w:pPr>
              <w:widowControl/>
              <w:numPr>
                <w:ilvl w:val="0"/>
                <w:numId w:val="12"/>
              </w:numPr>
              <w:jc w:val="left"/>
              <w:rPr>
                <w:sz w:val="24"/>
                <w:lang w:val="zh-CN"/>
              </w:rPr>
            </w:pPr>
            <w:r>
              <w:rPr>
                <w:rFonts w:hint="eastAsia"/>
                <w:sz w:val="24"/>
                <w:lang w:val="zh-CN"/>
              </w:rPr>
              <w:t>响应人未通过报名的或者在名称上和法人地位上与报名情况发生实质性的改变的；</w:t>
            </w:r>
          </w:p>
          <w:p>
            <w:pPr>
              <w:widowControl/>
              <w:numPr>
                <w:ilvl w:val="0"/>
                <w:numId w:val="12"/>
              </w:numPr>
              <w:jc w:val="left"/>
              <w:rPr>
                <w:sz w:val="24"/>
                <w:lang w:val="zh-CN"/>
              </w:rPr>
            </w:pPr>
            <w:r>
              <w:rPr>
                <w:rFonts w:hint="eastAsia"/>
                <w:sz w:val="24"/>
                <w:lang w:val="zh-CN"/>
              </w:rPr>
              <w:t>响应人不符合谈判文件中规定资格要求的，或者资格要求证明材料提供不齐全的；</w:t>
            </w:r>
          </w:p>
          <w:p>
            <w:pPr>
              <w:widowControl/>
              <w:numPr>
                <w:ilvl w:val="0"/>
                <w:numId w:val="12"/>
              </w:numPr>
              <w:jc w:val="left"/>
              <w:rPr>
                <w:sz w:val="24"/>
                <w:lang w:val="zh-CN"/>
              </w:rPr>
            </w:pPr>
            <w:r>
              <w:rPr>
                <w:rFonts w:hint="eastAsia"/>
                <w:sz w:val="24"/>
                <w:lang w:val="zh-CN"/>
              </w:rPr>
              <w:t>响应文件未按谈判文件规定的格式、内容和要求编制，响应文件字迹潦草、模糊、难以辨认；</w:t>
            </w:r>
          </w:p>
          <w:p>
            <w:pPr>
              <w:widowControl/>
              <w:numPr>
                <w:ilvl w:val="0"/>
                <w:numId w:val="12"/>
              </w:numPr>
              <w:jc w:val="left"/>
              <w:rPr>
                <w:sz w:val="24"/>
                <w:lang w:val="zh-CN"/>
              </w:rPr>
            </w:pPr>
            <w:r>
              <w:rPr>
                <w:rFonts w:hint="eastAsia"/>
                <w:sz w:val="24"/>
                <w:lang w:val="zh-CN"/>
              </w:rPr>
              <w:t>响应人在一份响应文件中，对同一采购项目报有两个或多个报价，且未书面确定以哪个报价为准的；</w:t>
            </w:r>
          </w:p>
          <w:p>
            <w:pPr>
              <w:widowControl/>
              <w:numPr>
                <w:ilvl w:val="0"/>
                <w:numId w:val="12"/>
              </w:numPr>
              <w:jc w:val="left"/>
              <w:rPr>
                <w:sz w:val="24"/>
                <w:lang w:val="zh-CN"/>
              </w:rPr>
            </w:pPr>
            <w:r>
              <w:rPr>
                <w:rFonts w:hint="eastAsia"/>
                <w:sz w:val="24"/>
                <w:lang w:val="zh-CN"/>
              </w:rPr>
              <w:t>响应人在谈判报价中存在严重错误，并影响对其他响应人的评分的；</w:t>
            </w:r>
          </w:p>
          <w:p>
            <w:pPr>
              <w:widowControl/>
              <w:numPr>
                <w:ilvl w:val="0"/>
                <w:numId w:val="12"/>
              </w:numPr>
              <w:jc w:val="left"/>
              <w:rPr>
                <w:sz w:val="24"/>
                <w:lang w:val="zh-CN"/>
              </w:rPr>
            </w:pPr>
            <w:r>
              <w:rPr>
                <w:rFonts w:hint="eastAsia"/>
                <w:sz w:val="24"/>
                <w:lang w:val="zh-CN"/>
              </w:rPr>
              <w:t>响应文件材料所述情况和所附相关资料不实的；</w:t>
            </w:r>
          </w:p>
          <w:p>
            <w:pPr>
              <w:widowControl/>
              <w:numPr>
                <w:ilvl w:val="0"/>
                <w:numId w:val="12"/>
              </w:numPr>
              <w:jc w:val="left"/>
              <w:rPr>
                <w:sz w:val="24"/>
                <w:lang w:val="zh-CN"/>
              </w:rPr>
            </w:pPr>
            <w:r>
              <w:rPr>
                <w:rFonts w:hint="eastAsia"/>
                <w:sz w:val="24"/>
                <w:lang w:val="zh-CN"/>
              </w:rPr>
              <w:t>响应人以他人的名义投标、串通投标、以行贿手段谋取中标或者以其他弄虚作假方式投标的。</w:t>
            </w:r>
          </w:p>
          <w:p>
            <w:pPr>
              <w:widowControl/>
              <w:numPr>
                <w:ilvl w:val="0"/>
                <w:numId w:val="12"/>
              </w:numPr>
              <w:jc w:val="left"/>
              <w:rPr>
                <w:sz w:val="24"/>
                <w:lang w:val="zh-CN"/>
              </w:rPr>
            </w:pPr>
            <w:r>
              <w:rPr>
                <w:rFonts w:hint="eastAsia"/>
                <w:sz w:val="24"/>
                <w:lang w:val="zh-CN"/>
              </w:rPr>
              <w:t>逾期送达的响应文件；</w:t>
            </w:r>
          </w:p>
          <w:p>
            <w:pPr>
              <w:widowControl/>
              <w:numPr>
                <w:ilvl w:val="0"/>
                <w:numId w:val="12"/>
              </w:numPr>
              <w:jc w:val="left"/>
              <w:rPr>
                <w:sz w:val="24"/>
                <w:lang w:val="zh-CN"/>
              </w:rPr>
            </w:pPr>
            <w:r>
              <w:rPr>
                <w:rFonts w:hint="eastAsia"/>
                <w:sz w:val="24"/>
                <w:lang w:val="zh-CN"/>
              </w:rPr>
              <w:t>谈判保证金未按谈判文件规定的方式和时间缴至指定帐户的（达到免收保证金条件的此款忽略）；</w:t>
            </w:r>
          </w:p>
          <w:p>
            <w:pPr>
              <w:widowControl/>
              <w:numPr>
                <w:ilvl w:val="0"/>
                <w:numId w:val="12"/>
              </w:numPr>
              <w:jc w:val="left"/>
              <w:rPr>
                <w:sz w:val="24"/>
                <w:lang w:val="zh-CN"/>
              </w:rPr>
            </w:pPr>
            <w:r>
              <w:rPr>
                <w:rFonts w:hint="eastAsia"/>
                <w:sz w:val="24"/>
                <w:lang w:val="zh-CN"/>
              </w:rPr>
              <w:t>响应人的谈判报价超出最高限价或预算金额；</w:t>
            </w:r>
          </w:p>
          <w:p>
            <w:pPr>
              <w:widowControl/>
              <w:numPr>
                <w:ilvl w:val="0"/>
                <w:numId w:val="12"/>
              </w:numPr>
              <w:jc w:val="left"/>
              <w:rPr>
                <w:sz w:val="24"/>
                <w:lang w:val="zh-CN"/>
              </w:rPr>
            </w:pPr>
            <w:r>
              <w:rPr>
                <w:rFonts w:hint="eastAsia"/>
                <w:sz w:val="24"/>
                <w:lang w:val="zh-CN"/>
              </w:rPr>
              <w:t>谈判文件明确规定无效的其他情形，或者其他被谈判小组认定无效的情况；</w:t>
            </w:r>
          </w:p>
          <w:p>
            <w:pPr>
              <w:widowControl/>
              <w:numPr>
                <w:ilvl w:val="0"/>
                <w:numId w:val="12"/>
              </w:numPr>
              <w:jc w:val="left"/>
              <w:rPr>
                <w:sz w:val="24"/>
                <w:lang w:val="zh-CN"/>
              </w:rPr>
            </w:pPr>
            <w:r>
              <w:rPr>
                <w:rFonts w:hint="eastAsia"/>
                <w:sz w:val="24"/>
                <w:lang w:val="zh-CN"/>
              </w:rPr>
              <w:t>谈判文件中约定的其他无效标要求；</w:t>
            </w:r>
          </w:p>
          <w:p>
            <w:pPr>
              <w:widowControl/>
              <w:numPr>
                <w:ilvl w:val="0"/>
                <w:numId w:val="12"/>
              </w:numPr>
              <w:jc w:val="left"/>
              <w:rPr>
                <w:sz w:val="24"/>
                <w:lang w:val="zh-CN"/>
              </w:rPr>
            </w:pPr>
            <w:r>
              <w:rPr>
                <w:rFonts w:hint="eastAsia"/>
                <w:sz w:val="24"/>
                <w:lang w:val="zh-CN"/>
              </w:rPr>
              <w:t>响应文件的已标价工程量清单与采购文件提供的工程量清单中的项目编码、项目名称、项目特征、计量单位、工程量不一致的；</w:t>
            </w:r>
          </w:p>
          <w:p>
            <w:pPr>
              <w:widowControl/>
              <w:numPr>
                <w:ilvl w:val="0"/>
                <w:numId w:val="12"/>
              </w:numPr>
              <w:jc w:val="left"/>
              <w:rPr>
                <w:sz w:val="24"/>
                <w:lang w:val="zh-CN"/>
              </w:rPr>
            </w:pPr>
            <w:r>
              <w:rPr>
                <w:color w:val="000000"/>
                <w:sz w:val="24"/>
              </w:rPr>
              <w:t>供应商、响应文件</w:t>
            </w:r>
            <w:r>
              <w:rPr>
                <w:rFonts w:hint="eastAsia"/>
                <w:color w:val="000000"/>
                <w:sz w:val="24"/>
              </w:rPr>
              <w:t>不存在</w:t>
            </w:r>
            <w:r>
              <w:rPr>
                <w:color w:val="000000"/>
                <w:sz w:val="24"/>
              </w:rPr>
              <w:t>不符合法律、法规和谈判文件规定的其他无效情形。</w:t>
            </w:r>
          </w:p>
          <w:p>
            <w:pPr>
              <w:widowControl/>
              <w:jc w:val="left"/>
              <w:rPr>
                <w:color w:val="000000"/>
                <w:kern w:val="0"/>
                <w:sz w:val="24"/>
              </w:rPr>
            </w:pPr>
            <w:r>
              <w:rPr>
                <w:rFonts w:hint="eastAsia"/>
                <w:sz w:val="24"/>
              </w:rPr>
              <w:t>20、</w:t>
            </w:r>
            <w:r>
              <w:rPr>
                <w:rFonts w:hint="eastAsia"/>
                <w:sz w:val="24"/>
                <w:lang w:val="zh-CN"/>
              </w:rPr>
              <w:t>不符合法律、法规和谈判文件规定的其他实质性要求的；</w:t>
            </w:r>
          </w:p>
        </w:tc>
      </w:tr>
    </w:tbl>
    <w:p>
      <w:pPr>
        <w:widowControl/>
        <w:jc w:val="left"/>
        <w:rPr>
          <w:sz w:val="24"/>
        </w:rPr>
      </w:pPr>
    </w:p>
    <w:p>
      <w:pPr>
        <w:numPr>
          <w:ilvl w:val="0"/>
          <w:numId w:val="10"/>
        </w:numPr>
        <w:tabs>
          <w:tab w:val="left" w:pos="360"/>
        </w:tabs>
        <w:snapToGrid w:val="0"/>
        <w:spacing w:line="360" w:lineRule="auto"/>
        <w:ind w:left="0" w:firstLine="0"/>
        <w:outlineLvl w:val="1"/>
        <w:rPr>
          <w:sz w:val="24"/>
        </w:rPr>
      </w:pPr>
      <w:r>
        <w:rPr>
          <w:sz w:val="24"/>
        </w:rPr>
        <w:t>谈判、响应文件有关事项的澄清、说明或者更正和最终报价</w:t>
      </w:r>
    </w:p>
    <w:p>
      <w:pPr>
        <w:numPr>
          <w:ilvl w:val="1"/>
          <w:numId w:val="10"/>
        </w:numPr>
        <w:tabs>
          <w:tab w:val="left" w:pos="1080"/>
          <w:tab w:val="left" w:pos="2014"/>
          <w:tab w:val="clear" w:pos="0"/>
        </w:tabs>
        <w:snapToGrid w:val="0"/>
        <w:spacing w:line="360" w:lineRule="auto"/>
        <w:ind w:left="0" w:firstLine="0"/>
        <w:rPr>
          <w:sz w:val="24"/>
        </w:rPr>
      </w:pPr>
      <w:r>
        <w:rPr>
          <w:sz w:val="24"/>
        </w:rPr>
        <w:t>谈判小组所有成员将集中与单一供应商分别进行谈判，并给予所有参加谈判的供应商平等的谈判机会。在谈判中，谈判的任何一方不得透露与谈判有关的其他供应商的技术资料、价格和其他信息。</w:t>
      </w:r>
    </w:p>
    <w:p>
      <w:pPr>
        <w:numPr>
          <w:ilvl w:val="1"/>
          <w:numId w:val="10"/>
        </w:numPr>
        <w:tabs>
          <w:tab w:val="left" w:pos="1080"/>
          <w:tab w:val="left" w:pos="2014"/>
          <w:tab w:val="clear" w:pos="0"/>
        </w:tabs>
        <w:snapToGrid w:val="0"/>
        <w:spacing w:line="360" w:lineRule="auto"/>
        <w:ind w:left="0" w:firstLine="0"/>
        <w:rPr>
          <w:sz w:val="24"/>
        </w:rPr>
      </w:pPr>
      <w:r>
        <w:rPr>
          <w:sz w:val="24"/>
        </w:rPr>
        <w:t>在谈判过程中，谈判小组可以根据谈判文件和谈判情况实质性变动采购需求中的技术、服务要求以及合同草案条款，但不得变动谈判文件中的其他内容。实质性变动的内容，须经采购人代表确认。</w:t>
      </w:r>
    </w:p>
    <w:p>
      <w:pPr>
        <w:numPr>
          <w:ilvl w:val="1"/>
          <w:numId w:val="10"/>
        </w:numPr>
        <w:tabs>
          <w:tab w:val="left" w:pos="1080"/>
          <w:tab w:val="left" w:pos="2014"/>
          <w:tab w:val="clear" w:pos="0"/>
        </w:tabs>
        <w:snapToGrid w:val="0"/>
        <w:spacing w:line="360" w:lineRule="auto"/>
        <w:ind w:left="0" w:firstLine="0"/>
        <w:rPr>
          <w:sz w:val="24"/>
        </w:rPr>
      </w:pPr>
      <w:r>
        <w:rPr>
          <w:sz w:val="24"/>
        </w:rPr>
        <w:t>对谈判文件作出的实质性变动是谈判文件的有效组成部分，谈判小组将及时以书面形式同时通知所有参加谈判的供应商。</w:t>
      </w:r>
    </w:p>
    <w:p>
      <w:pPr>
        <w:numPr>
          <w:ilvl w:val="1"/>
          <w:numId w:val="10"/>
        </w:numPr>
        <w:tabs>
          <w:tab w:val="left" w:pos="1080"/>
          <w:tab w:val="left" w:pos="2014"/>
          <w:tab w:val="clear" w:pos="0"/>
        </w:tabs>
        <w:snapToGrid w:val="0"/>
        <w:spacing w:line="360" w:lineRule="auto"/>
        <w:ind w:left="0" w:firstLine="0"/>
        <w:rPr>
          <w:sz w:val="24"/>
        </w:rPr>
      </w:pPr>
      <w:r>
        <w:rPr>
          <w:sz w:val="24"/>
        </w:rPr>
        <w:t>供应商应当按照谈判文件的变动情况和谈判小组的要求重新提交响应文件，并由其法定代表人或授权代表签字或者加盖公章。</w:t>
      </w:r>
      <w:r>
        <w:rPr>
          <w:kern w:val="0"/>
          <w:sz w:val="24"/>
        </w:rPr>
        <w:t>由授权代表签字的，应当附授权委托书。</w:t>
      </w:r>
      <w:r>
        <w:rPr>
          <w:sz w:val="24"/>
        </w:rPr>
        <w:t>供应商为自然人的，应当由本人签字并附身份证明。</w:t>
      </w:r>
    </w:p>
    <w:p>
      <w:pPr>
        <w:numPr>
          <w:ilvl w:val="1"/>
          <w:numId w:val="10"/>
        </w:numPr>
        <w:tabs>
          <w:tab w:val="left" w:pos="1080"/>
          <w:tab w:val="left" w:pos="2014"/>
          <w:tab w:val="clear" w:pos="0"/>
        </w:tabs>
        <w:snapToGrid w:val="0"/>
        <w:spacing w:line="360" w:lineRule="auto"/>
        <w:ind w:left="0" w:firstLine="0"/>
        <w:rPr>
          <w:sz w:val="24"/>
        </w:rPr>
      </w:pPr>
      <w:r>
        <w:rPr>
          <w:sz w:val="24"/>
        </w:rPr>
        <w:t>响应文件的澄清</w:t>
      </w:r>
      <w:r>
        <w:rPr>
          <w:rFonts w:hint="eastAsia"/>
          <w:sz w:val="24"/>
        </w:rPr>
        <w:t>、说明或者更正</w:t>
      </w:r>
      <w:r>
        <w:rPr>
          <w:sz w:val="24"/>
        </w:rPr>
        <w:t>：</w:t>
      </w:r>
    </w:p>
    <w:p>
      <w:pPr>
        <w:tabs>
          <w:tab w:val="left" w:pos="1980"/>
        </w:tabs>
        <w:snapToGrid w:val="0"/>
        <w:spacing w:line="360" w:lineRule="auto"/>
        <w:rPr>
          <w:sz w:val="24"/>
        </w:rPr>
      </w:pPr>
      <w:r>
        <w:rPr>
          <w:rFonts w:hint="eastAsia"/>
          <w:sz w:val="24"/>
        </w:rPr>
        <w:t>评审</w:t>
      </w:r>
      <w:r>
        <w:rPr>
          <w:sz w:val="24"/>
        </w:rPr>
        <w:t>过程中，</w:t>
      </w:r>
      <w:r>
        <w:rPr>
          <w:rFonts w:hint="eastAsia"/>
          <w:sz w:val="24"/>
        </w:rPr>
        <w:t>谈判小组</w:t>
      </w:r>
      <w:r>
        <w:rPr>
          <w:sz w:val="24"/>
        </w:rPr>
        <w:t>会将以书面形式要求</w:t>
      </w:r>
      <w:r>
        <w:rPr>
          <w:rFonts w:hint="eastAsia"/>
          <w:sz w:val="24"/>
        </w:rPr>
        <w:t>供应商</w:t>
      </w:r>
      <w:r>
        <w:rPr>
          <w:sz w:val="24"/>
        </w:rPr>
        <w:t>对其</w:t>
      </w:r>
      <w:r>
        <w:rPr>
          <w:rFonts w:hint="eastAsia"/>
          <w:sz w:val="24"/>
        </w:rPr>
        <w:t>响应</w:t>
      </w:r>
      <w:r>
        <w:rPr>
          <w:sz w:val="24"/>
        </w:rPr>
        <w:t>文件中含义不明确、同类问题表述不一致或者有明显文字和计算错误的内容，作出必要的澄清、说明或者补正。</w:t>
      </w:r>
      <w:r>
        <w:rPr>
          <w:rFonts w:hint="eastAsia"/>
          <w:sz w:val="24"/>
        </w:rPr>
        <w:t>供应商</w:t>
      </w:r>
      <w:r>
        <w:rPr>
          <w:sz w:val="24"/>
        </w:rPr>
        <w:t>的澄清、说明或者补正应当采用书面形式，并加盖</w:t>
      </w:r>
      <w:r>
        <w:rPr>
          <w:rFonts w:hint="eastAsia"/>
          <w:sz w:val="24"/>
        </w:rPr>
        <w:t>供应商公章</w:t>
      </w:r>
      <w:r>
        <w:rPr>
          <w:sz w:val="24"/>
        </w:rPr>
        <w:t>。</w:t>
      </w:r>
      <w:r>
        <w:rPr>
          <w:rFonts w:hint="eastAsia"/>
          <w:sz w:val="24"/>
        </w:rPr>
        <w:t>供应商</w:t>
      </w:r>
      <w:r>
        <w:rPr>
          <w:sz w:val="24"/>
        </w:rPr>
        <w:t>的澄清、说明或者补正不得超出</w:t>
      </w:r>
      <w:r>
        <w:rPr>
          <w:rFonts w:hint="eastAsia"/>
          <w:sz w:val="24"/>
        </w:rPr>
        <w:t>响应</w:t>
      </w:r>
      <w:r>
        <w:rPr>
          <w:sz w:val="24"/>
        </w:rPr>
        <w:t>文件的范围或者改变</w:t>
      </w:r>
      <w:r>
        <w:rPr>
          <w:rFonts w:hint="eastAsia"/>
          <w:sz w:val="24"/>
        </w:rPr>
        <w:t>响应</w:t>
      </w:r>
      <w:r>
        <w:rPr>
          <w:sz w:val="24"/>
        </w:rPr>
        <w:t>文件的实质性内容。澄清文件将作为</w:t>
      </w:r>
      <w:r>
        <w:rPr>
          <w:rFonts w:hint="eastAsia"/>
          <w:sz w:val="24"/>
        </w:rPr>
        <w:t>响应</w:t>
      </w:r>
      <w:r>
        <w:rPr>
          <w:sz w:val="24"/>
        </w:rPr>
        <w:t>文件内容的一部分。</w:t>
      </w:r>
    </w:p>
    <w:p>
      <w:pPr>
        <w:numPr>
          <w:ilvl w:val="1"/>
          <w:numId w:val="10"/>
        </w:numPr>
        <w:tabs>
          <w:tab w:val="left" w:pos="1080"/>
          <w:tab w:val="left" w:pos="2014"/>
          <w:tab w:val="clear" w:pos="0"/>
        </w:tabs>
        <w:snapToGrid w:val="0"/>
        <w:spacing w:line="360" w:lineRule="auto"/>
        <w:ind w:left="0" w:firstLine="0"/>
        <w:rPr>
          <w:b/>
          <w:sz w:val="24"/>
        </w:rPr>
      </w:pPr>
      <w:r>
        <w:rPr>
          <w:b/>
          <w:sz w:val="24"/>
        </w:rPr>
        <w:t>谈判结束后，谈判小组将要求所有实质性响应的供应商在规定时间内提交最</w:t>
      </w:r>
      <w:r>
        <w:rPr>
          <w:rFonts w:hint="eastAsia"/>
          <w:b/>
          <w:sz w:val="24"/>
        </w:rPr>
        <w:t>终</w:t>
      </w:r>
      <w:r>
        <w:rPr>
          <w:b/>
          <w:sz w:val="24"/>
        </w:rPr>
        <w:t>报价。</w:t>
      </w:r>
    </w:p>
    <w:p>
      <w:pPr>
        <w:numPr>
          <w:ilvl w:val="1"/>
          <w:numId w:val="10"/>
        </w:numPr>
        <w:tabs>
          <w:tab w:val="left" w:pos="1080"/>
          <w:tab w:val="left" w:pos="2014"/>
          <w:tab w:val="clear" w:pos="0"/>
        </w:tabs>
        <w:snapToGrid w:val="0"/>
        <w:spacing w:line="360" w:lineRule="auto"/>
        <w:ind w:left="0" w:firstLine="0"/>
        <w:rPr>
          <w:sz w:val="24"/>
        </w:rPr>
      </w:pPr>
      <w:r>
        <w:rPr>
          <w:sz w:val="24"/>
        </w:rPr>
        <w:t>谈判文件能够详细列明采购标的的技术、服务要求的，谈判结束后，谈判小组将要求所有继续参加谈判的供应商在规定时间内提交最</w:t>
      </w:r>
      <w:r>
        <w:rPr>
          <w:rFonts w:hint="eastAsia"/>
          <w:sz w:val="24"/>
        </w:rPr>
        <w:t>终</w:t>
      </w:r>
      <w:r>
        <w:rPr>
          <w:sz w:val="24"/>
        </w:rPr>
        <w:t>报价，提交最终报价的供应商不得少于3家。谈判文件不能详细列明采购标的的技术、服务要求，需经谈判由供应商提供最终设计方案或解决方案的，谈判结束后，谈判小组将按照少数服从多数的原则投票推荐3家以上供应商的设计方案或者解决方案，并要求其在规定时间内提交最</w:t>
      </w:r>
      <w:r>
        <w:rPr>
          <w:rFonts w:hint="eastAsia"/>
          <w:sz w:val="24"/>
        </w:rPr>
        <w:t>终</w:t>
      </w:r>
      <w:r>
        <w:rPr>
          <w:sz w:val="24"/>
        </w:rPr>
        <w:t>报价。</w:t>
      </w:r>
    </w:p>
    <w:p>
      <w:pPr>
        <w:numPr>
          <w:ilvl w:val="1"/>
          <w:numId w:val="10"/>
        </w:numPr>
        <w:tabs>
          <w:tab w:val="left" w:pos="1080"/>
          <w:tab w:val="left" w:pos="2014"/>
          <w:tab w:val="clear" w:pos="0"/>
        </w:tabs>
        <w:snapToGrid w:val="0"/>
        <w:spacing w:line="360" w:lineRule="auto"/>
        <w:ind w:left="0" w:firstLine="0"/>
        <w:rPr>
          <w:sz w:val="24"/>
        </w:rPr>
      </w:pPr>
      <w:r>
        <w:rPr>
          <w:sz w:val="24"/>
        </w:rPr>
        <w:t>最</w:t>
      </w:r>
      <w:r>
        <w:rPr>
          <w:rFonts w:hint="eastAsia"/>
          <w:sz w:val="24"/>
        </w:rPr>
        <w:t>终</w:t>
      </w:r>
      <w:r>
        <w:rPr>
          <w:sz w:val="24"/>
        </w:rPr>
        <w:t>报价是供应商响应文件的有效组成部分。</w:t>
      </w:r>
    </w:p>
    <w:p>
      <w:pPr>
        <w:numPr>
          <w:ilvl w:val="1"/>
          <w:numId w:val="10"/>
        </w:numPr>
        <w:tabs>
          <w:tab w:val="left" w:pos="1080"/>
          <w:tab w:val="left" w:pos="2014"/>
          <w:tab w:val="clear" w:pos="0"/>
        </w:tabs>
        <w:snapToGrid w:val="0"/>
        <w:spacing w:line="360" w:lineRule="auto"/>
        <w:ind w:left="0" w:firstLine="0"/>
        <w:rPr>
          <w:sz w:val="24"/>
        </w:rPr>
      </w:pPr>
      <w:r>
        <w:rPr>
          <w:sz w:val="24"/>
        </w:rPr>
        <w:t>已提交响应文件的供应商，在提交最</w:t>
      </w:r>
      <w:r>
        <w:rPr>
          <w:rFonts w:hint="eastAsia"/>
          <w:sz w:val="24"/>
        </w:rPr>
        <w:t>终</w:t>
      </w:r>
      <w:r>
        <w:rPr>
          <w:sz w:val="24"/>
        </w:rPr>
        <w:t>报价之前，可以根据谈判情况退出谈判。</w:t>
      </w:r>
    </w:p>
    <w:p>
      <w:pPr>
        <w:numPr>
          <w:ilvl w:val="0"/>
          <w:numId w:val="10"/>
        </w:numPr>
        <w:tabs>
          <w:tab w:val="left" w:pos="360"/>
        </w:tabs>
        <w:snapToGrid w:val="0"/>
        <w:spacing w:line="360" w:lineRule="auto"/>
        <w:ind w:left="0" w:firstLine="0"/>
        <w:outlineLvl w:val="1"/>
        <w:rPr>
          <w:sz w:val="24"/>
        </w:rPr>
      </w:pPr>
      <w:r>
        <w:rPr>
          <w:sz w:val="24"/>
        </w:rPr>
        <w:t>最终报价的算术修正及政策调整</w:t>
      </w:r>
    </w:p>
    <w:p>
      <w:pPr>
        <w:numPr>
          <w:ilvl w:val="1"/>
          <w:numId w:val="10"/>
        </w:numPr>
        <w:tabs>
          <w:tab w:val="left" w:pos="1080"/>
          <w:tab w:val="clear" w:pos="0"/>
        </w:tabs>
        <w:snapToGrid w:val="0"/>
        <w:spacing w:line="360" w:lineRule="auto"/>
        <w:ind w:left="0" w:firstLine="0"/>
        <w:rPr>
          <w:sz w:val="24"/>
        </w:rPr>
      </w:pPr>
      <w:r>
        <w:rPr>
          <w:sz w:val="24"/>
        </w:rPr>
        <w:t>最终报价须包含谈判文件全部内容，</w:t>
      </w:r>
      <w:r>
        <w:rPr>
          <w:rFonts w:hint="eastAsia"/>
          <w:sz w:val="24"/>
        </w:rPr>
        <w:t>如最终分项报价表有缺漏视为已含在其他各项报价中，将不对最终报价进行调整。谈判小组有权要求供应商在评审现场合理的时间内对此进行书面确认，供应商不确认的，视为将一个采购包中的内容拆开响应，其</w:t>
      </w:r>
      <w:r>
        <w:rPr>
          <w:rFonts w:hint="eastAsia"/>
          <w:b/>
          <w:bCs/>
          <w:sz w:val="24"/>
        </w:rPr>
        <w:t>响应无效</w:t>
      </w:r>
      <w:r>
        <w:rPr>
          <w:rFonts w:hint="eastAsia"/>
          <w:sz w:val="24"/>
        </w:rPr>
        <w:t>。</w:t>
      </w:r>
    </w:p>
    <w:p>
      <w:pPr>
        <w:numPr>
          <w:ilvl w:val="1"/>
          <w:numId w:val="10"/>
        </w:numPr>
        <w:tabs>
          <w:tab w:val="left" w:pos="1080"/>
          <w:tab w:val="left" w:pos="2014"/>
          <w:tab w:val="clear" w:pos="0"/>
        </w:tabs>
        <w:snapToGrid w:val="0"/>
        <w:spacing w:line="360" w:lineRule="auto"/>
        <w:ind w:left="0" w:firstLine="0"/>
        <w:rPr>
          <w:sz w:val="24"/>
        </w:rPr>
      </w:pPr>
      <w:r>
        <w:rPr>
          <w:sz w:val="24"/>
        </w:rPr>
        <w:t>最终报价出现前后不一致的，按照下列规定修正：</w:t>
      </w:r>
    </w:p>
    <w:p>
      <w:pPr>
        <w:numPr>
          <w:ilvl w:val="2"/>
          <w:numId w:val="10"/>
        </w:numPr>
        <w:snapToGrid w:val="0"/>
        <w:spacing w:line="360" w:lineRule="auto"/>
        <w:ind w:left="0" w:firstLine="0"/>
        <w:rPr>
          <w:sz w:val="24"/>
        </w:rPr>
      </w:pPr>
      <w:r>
        <w:rPr>
          <w:sz w:val="24"/>
        </w:rPr>
        <w:t>谈判文件对于报价修正是否另有规定：</w:t>
      </w:r>
    </w:p>
    <w:p>
      <w:pPr>
        <w:tabs>
          <w:tab w:val="left" w:pos="1080"/>
          <w:tab w:val="left" w:pos="1589"/>
          <w:tab w:val="left" w:pos="2035"/>
          <w:tab w:val="left" w:pos="2114"/>
        </w:tabs>
        <w:snapToGrid w:val="0"/>
        <w:spacing w:line="360" w:lineRule="auto"/>
        <w:rPr>
          <w:sz w:val="24"/>
          <w:u w:val="single"/>
        </w:rPr>
      </w:pPr>
      <w:r>
        <w:rPr>
          <w:sz w:val="24"/>
        </w:rPr>
        <w:t>□有，具体规定为：____________________________</w:t>
      </w:r>
    </w:p>
    <w:p>
      <w:pPr>
        <w:tabs>
          <w:tab w:val="left" w:pos="1080"/>
          <w:tab w:val="left" w:pos="1589"/>
          <w:tab w:val="left" w:pos="2035"/>
          <w:tab w:val="left" w:pos="2114"/>
        </w:tabs>
        <w:snapToGrid w:val="0"/>
        <w:spacing w:line="360" w:lineRule="auto"/>
        <w:rPr>
          <w:sz w:val="24"/>
        </w:rPr>
      </w:pPr>
      <w:r>
        <w:rPr>
          <w:b/>
          <w:color w:val="000000"/>
          <w:sz w:val="24"/>
        </w:rPr>
        <w:t>■</w:t>
      </w:r>
      <w:r>
        <w:rPr>
          <w:sz w:val="24"/>
        </w:rPr>
        <w:t>无，按下述3.2.2-3.2.5项规定修正。</w:t>
      </w:r>
    </w:p>
    <w:p>
      <w:pPr>
        <w:numPr>
          <w:ilvl w:val="2"/>
          <w:numId w:val="10"/>
        </w:numPr>
        <w:snapToGrid w:val="0"/>
        <w:spacing w:line="360" w:lineRule="auto"/>
        <w:ind w:left="0" w:firstLine="0"/>
        <w:rPr>
          <w:sz w:val="24"/>
        </w:rPr>
      </w:pPr>
      <w:r>
        <w:rPr>
          <w:sz w:val="24"/>
        </w:rPr>
        <w:t>大写金额和小写金额不一致的，以大写金额为准；</w:t>
      </w:r>
    </w:p>
    <w:p>
      <w:pPr>
        <w:numPr>
          <w:ilvl w:val="2"/>
          <w:numId w:val="10"/>
        </w:numPr>
        <w:snapToGrid w:val="0"/>
        <w:spacing w:line="360" w:lineRule="auto"/>
        <w:ind w:left="0" w:firstLine="0"/>
        <w:rPr>
          <w:sz w:val="24"/>
        </w:rPr>
      </w:pPr>
      <w:r>
        <w:rPr>
          <w:sz w:val="24"/>
        </w:rPr>
        <w:t>单价金额小数点或者百分比有明显错位的，以总价为准，并修改单价；</w:t>
      </w:r>
    </w:p>
    <w:p>
      <w:pPr>
        <w:numPr>
          <w:ilvl w:val="2"/>
          <w:numId w:val="10"/>
        </w:numPr>
        <w:snapToGrid w:val="0"/>
        <w:spacing w:line="360" w:lineRule="auto"/>
        <w:ind w:left="0" w:firstLine="0"/>
        <w:rPr>
          <w:sz w:val="24"/>
        </w:rPr>
      </w:pPr>
      <w:r>
        <w:rPr>
          <w:sz w:val="24"/>
        </w:rPr>
        <w:t>总价金额与按单价汇总金额不一致的，以单价金额计算结果为准。</w:t>
      </w:r>
    </w:p>
    <w:p>
      <w:pPr>
        <w:numPr>
          <w:ilvl w:val="2"/>
          <w:numId w:val="10"/>
        </w:numPr>
        <w:snapToGrid w:val="0"/>
        <w:spacing w:line="360" w:lineRule="auto"/>
        <w:ind w:left="0" w:firstLine="0"/>
        <w:rPr>
          <w:sz w:val="24"/>
        </w:rPr>
      </w:pPr>
      <w:r>
        <w:rPr>
          <w:sz w:val="24"/>
        </w:rPr>
        <w:t>同时出现两种以上不一致的，按照前款规定的顺序修正。修正后的报价经供应商书面确认后产生约束力，供应商不确认的，其</w:t>
      </w:r>
      <w:r>
        <w:rPr>
          <w:b/>
          <w:bCs/>
          <w:sz w:val="24"/>
        </w:rPr>
        <w:t>响应无效</w:t>
      </w:r>
      <w:r>
        <w:rPr>
          <w:sz w:val="24"/>
        </w:rPr>
        <w:t>。</w:t>
      </w:r>
    </w:p>
    <w:p>
      <w:pPr>
        <w:numPr>
          <w:ilvl w:val="1"/>
          <w:numId w:val="10"/>
        </w:numPr>
        <w:tabs>
          <w:tab w:val="left" w:pos="1080"/>
          <w:tab w:val="left" w:pos="2014"/>
          <w:tab w:val="clear" w:pos="0"/>
        </w:tabs>
        <w:snapToGrid w:val="0"/>
        <w:spacing w:line="360" w:lineRule="auto"/>
        <w:ind w:left="0" w:firstLine="0"/>
        <w:rPr>
          <w:sz w:val="24"/>
        </w:rPr>
      </w:pPr>
      <w:r>
        <w:rPr>
          <w:sz w:val="24"/>
        </w:rPr>
        <w:t>落实政府采购政策的价格调整：只有符合第二章《供应商须知》3.2条规定情形的，可以享受中小企业扶持政策，用扣除后的价格参加评审；否则，评审时价格不予扣除。</w:t>
      </w:r>
    </w:p>
    <w:p>
      <w:pPr>
        <w:numPr>
          <w:ilvl w:val="2"/>
          <w:numId w:val="10"/>
        </w:numPr>
        <w:snapToGrid w:val="0"/>
        <w:spacing w:line="360" w:lineRule="auto"/>
        <w:ind w:left="0" w:firstLine="0"/>
        <w:rPr>
          <w:sz w:val="24"/>
        </w:rPr>
      </w:pPr>
      <w:r>
        <w:rPr>
          <w:sz w:val="24"/>
        </w:rPr>
        <w:t>对于未预留份额专门面向中小企业采购的采购项目，以及预留份额项目中的非预留部分采购包，对小微企业报价给予5%的扣除，用扣除后的价格参加评审。</w:t>
      </w:r>
    </w:p>
    <w:p>
      <w:pPr>
        <w:numPr>
          <w:ilvl w:val="2"/>
          <w:numId w:val="10"/>
        </w:numPr>
        <w:snapToGrid w:val="0"/>
        <w:spacing w:line="360" w:lineRule="auto"/>
        <w:ind w:left="0" w:firstLine="0"/>
        <w:rPr>
          <w:sz w:val="24"/>
        </w:rPr>
      </w:pPr>
      <w:r>
        <w:rPr>
          <w:sz w:val="24"/>
        </w:rPr>
        <w:t>对于未预留份额专门面向中小企业采购的采购项目，以及预留份额项目中的非预留部分采购包，且接受大中型企业与</w:t>
      </w:r>
      <w:r>
        <w:rPr>
          <w:b/>
          <w:sz w:val="24"/>
        </w:rPr>
        <w:t>小微企业</w:t>
      </w:r>
      <w:r>
        <w:rPr>
          <w:sz w:val="24"/>
        </w:rPr>
        <w:t>组成联合体或者允许大中型企业向一家或者多家</w:t>
      </w:r>
      <w:r>
        <w:rPr>
          <w:b/>
          <w:sz w:val="24"/>
        </w:rPr>
        <w:t>小微企业</w:t>
      </w:r>
      <w:r>
        <w:rPr>
          <w:sz w:val="24"/>
        </w:rPr>
        <w:t>分包的采购项目，对于联合协议或者分包意向协议约定</w:t>
      </w:r>
      <w:r>
        <w:rPr>
          <w:b/>
          <w:sz w:val="24"/>
        </w:rPr>
        <w:t>小微企业</w:t>
      </w:r>
      <w:r>
        <w:rPr>
          <w:sz w:val="24"/>
        </w:rPr>
        <w:t>的合同份额占到合同总金额 30%以上的联合体或者大中型企业的报价给予</w:t>
      </w:r>
      <w:r>
        <w:rPr>
          <w:rFonts w:hint="eastAsia"/>
          <w:sz w:val="24"/>
        </w:rPr>
        <w:t>3</w:t>
      </w:r>
      <w:r>
        <w:rPr>
          <w:sz w:val="24"/>
        </w:rPr>
        <w:t>%的扣除，用扣除后的价格参加评审。</w:t>
      </w:r>
    </w:p>
    <w:p>
      <w:pPr>
        <w:numPr>
          <w:ilvl w:val="2"/>
          <w:numId w:val="10"/>
        </w:numPr>
        <w:snapToGrid w:val="0"/>
        <w:spacing w:line="360" w:lineRule="auto"/>
        <w:ind w:left="0" w:firstLine="0"/>
        <w:rPr>
          <w:sz w:val="24"/>
        </w:rPr>
      </w:pPr>
      <w:r>
        <w:rPr>
          <w:sz w:val="24"/>
        </w:rPr>
        <w:t>组成联合体或者接受分包的小微企业与联合体内其他企业、分包企业之间存在直接控股、管理关系的，不享受价格扣除优惠政策。</w:t>
      </w:r>
    </w:p>
    <w:p>
      <w:pPr>
        <w:numPr>
          <w:ilvl w:val="2"/>
          <w:numId w:val="10"/>
        </w:numPr>
        <w:snapToGrid w:val="0"/>
        <w:spacing w:line="360" w:lineRule="auto"/>
        <w:ind w:left="0" w:firstLine="0"/>
        <w:rPr>
          <w:sz w:val="24"/>
        </w:rPr>
      </w:pPr>
      <w:r>
        <w:rPr>
          <w:sz w:val="24"/>
        </w:rPr>
        <w:t>价格扣除比例对小型企业和微型企业同等对待，不作区分。</w:t>
      </w:r>
    </w:p>
    <w:p>
      <w:pPr>
        <w:numPr>
          <w:ilvl w:val="2"/>
          <w:numId w:val="10"/>
        </w:numPr>
        <w:snapToGrid w:val="0"/>
        <w:spacing w:line="360" w:lineRule="auto"/>
        <w:ind w:left="0" w:firstLine="0"/>
        <w:rPr>
          <w:sz w:val="24"/>
        </w:rPr>
      </w:pPr>
      <w:r>
        <w:rPr>
          <w:sz w:val="24"/>
        </w:rPr>
        <w:t>中小企业参加政府采购活动，应当按照谈判文件给定的格式出具《中小企业声明函》，否则不得享受相关中小企业扶持政策。</w:t>
      </w:r>
    </w:p>
    <w:p>
      <w:pPr>
        <w:numPr>
          <w:ilvl w:val="2"/>
          <w:numId w:val="10"/>
        </w:numPr>
        <w:snapToGrid w:val="0"/>
        <w:spacing w:line="360" w:lineRule="auto"/>
        <w:ind w:left="0" w:firstLine="0"/>
        <w:rPr>
          <w:sz w:val="24"/>
        </w:rPr>
      </w:pPr>
      <w:r>
        <w:rPr>
          <w:sz w:val="24"/>
        </w:rPr>
        <w:t>监狱企业提供了由省级以上监狱管理局（常州市含教育矫治局）、戒毒管理局（含新疆生产建设兵团）出具的属于监狱企业的证明文件的，视同小微企业。</w:t>
      </w:r>
    </w:p>
    <w:p>
      <w:pPr>
        <w:numPr>
          <w:ilvl w:val="2"/>
          <w:numId w:val="10"/>
        </w:numPr>
        <w:snapToGrid w:val="0"/>
        <w:spacing w:line="360" w:lineRule="auto"/>
        <w:ind w:left="0" w:firstLine="0"/>
        <w:rPr>
          <w:sz w:val="24"/>
        </w:rPr>
      </w:pPr>
      <w:r>
        <w:rPr>
          <w:sz w:val="24"/>
        </w:rPr>
        <w:t>残疾人福利性单位按谈判文件要求提供了《残疾人福利性单位声明函》（见附件）的，视同小微企业。</w:t>
      </w:r>
    </w:p>
    <w:p>
      <w:pPr>
        <w:numPr>
          <w:ilvl w:val="2"/>
          <w:numId w:val="10"/>
        </w:numPr>
        <w:snapToGrid w:val="0"/>
        <w:spacing w:line="360" w:lineRule="auto"/>
        <w:ind w:left="0" w:firstLine="0"/>
        <w:rPr>
          <w:sz w:val="24"/>
        </w:rPr>
      </w:pPr>
      <w:r>
        <w:rPr>
          <w:sz w:val="24"/>
        </w:rPr>
        <w:t>若供应商同时属于小型或微型企业、监狱企业、残疾人福利性单位中的两种及以上，将不重复享受小微企业价格扣减的优惠政策。</w:t>
      </w:r>
    </w:p>
    <w:p>
      <w:pPr>
        <w:numPr>
          <w:ilvl w:val="2"/>
          <w:numId w:val="10"/>
        </w:numPr>
        <w:snapToGrid w:val="0"/>
        <w:spacing w:line="360" w:lineRule="auto"/>
        <w:ind w:left="0" w:firstLine="0"/>
        <w:rPr>
          <w:sz w:val="24"/>
        </w:rPr>
      </w:pPr>
      <w:r>
        <w:rPr>
          <w:rFonts w:hint="eastAsia"/>
          <w:sz w:val="24"/>
        </w:rPr>
        <w:t>非政府强制采购的节能产品或环境标志产品，依据品目清单和认证证书实施政府优先采购。优先采购的具体规定（如涉及）：</w:t>
      </w:r>
      <w:r>
        <w:rPr>
          <w:rFonts w:hint="eastAsia"/>
          <w:sz w:val="24"/>
          <w:u w:val="single"/>
        </w:rPr>
        <w:t xml:space="preserve">  /  </w:t>
      </w:r>
      <w:r>
        <w:rPr>
          <w:rFonts w:hint="eastAsia"/>
          <w:sz w:val="24"/>
        </w:rPr>
        <w:t>。</w:t>
      </w:r>
    </w:p>
    <w:p>
      <w:pPr>
        <w:numPr>
          <w:ilvl w:val="2"/>
          <w:numId w:val="10"/>
        </w:numPr>
        <w:snapToGrid w:val="0"/>
        <w:spacing w:line="360" w:lineRule="auto"/>
        <w:ind w:left="0" w:firstLine="0"/>
        <w:rPr>
          <w:sz w:val="24"/>
        </w:rPr>
      </w:pPr>
      <w:r>
        <w:rPr>
          <w:rFonts w:hint="eastAsia"/>
          <w:sz w:val="24"/>
        </w:rPr>
        <w:t>关于无线局域网认证产品政府采购清单中的产品，优先采购的具体规定（如涉及）：</w:t>
      </w:r>
      <w:r>
        <w:rPr>
          <w:rFonts w:hint="eastAsia"/>
          <w:sz w:val="24"/>
          <w:u w:val="single"/>
        </w:rPr>
        <w:t xml:space="preserve">   /   </w:t>
      </w:r>
      <w:r>
        <w:rPr>
          <w:rFonts w:hint="eastAsia"/>
          <w:sz w:val="24"/>
        </w:rPr>
        <w:t>。</w:t>
      </w:r>
    </w:p>
    <w:p>
      <w:pPr>
        <w:numPr>
          <w:ilvl w:val="2"/>
          <w:numId w:val="10"/>
        </w:numPr>
        <w:snapToGrid w:val="0"/>
        <w:spacing w:line="360" w:lineRule="auto"/>
        <w:ind w:left="0" w:firstLine="0"/>
        <w:rPr>
          <w:sz w:val="24"/>
        </w:rPr>
      </w:pPr>
      <w:r>
        <w:rPr>
          <w:sz w:val="24"/>
        </w:rPr>
        <w:t>其他为落实政府采购政策实施的优先采购</w:t>
      </w:r>
      <w:r>
        <w:rPr>
          <w:rFonts w:hint="eastAsia"/>
          <w:sz w:val="24"/>
        </w:rPr>
        <w:t>（如涉及）</w:t>
      </w:r>
      <w:r>
        <w:rPr>
          <w:sz w:val="24"/>
        </w:rPr>
        <w:t>：</w:t>
      </w:r>
      <w:r>
        <w:rPr>
          <w:rFonts w:hint="eastAsia"/>
          <w:sz w:val="24"/>
          <w:u w:val="single"/>
        </w:rPr>
        <w:t xml:space="preserve">   /   </w:t>
      </w:r>
      <w:r>
        <w:rPr>
          <w:sz w:val="24"/>
        </w:rPr>
        <w:t>。</w:t>
      </w:r>
    </w:p>
    <w:p>
      <w:pPr>
        <w:numPr>
          <w:ilvl w:val="0"/>
          <w:numId w:val="10"/>
        </w:numPr>
        <w:tabs>
          <w:tab w:val="left" w:pos="360"/>
        </w:tabs>
        <w:snapToGrid w:val="0"/>
        <w:spacing w:line="360" w:lineRule="auto"/>
        <w:ind w:left="0" w:firstLine="0"/>
        <w:outlineLvl w:val="1"/>
        <w:rPr>
          <w:sz w:val="24"/>
        </w:rPr>
      </w:pPr>
      <w:r>
        <w:rPr>
          <w:sz w:val="24"/>
        </w:rPr>
        <w:t>谈判环节及提交最终报价后如出现以下情况的，供应商的</w:t>
      </w:r>
      <w:r>
        <w:rPr>
          <w:rFonts w:hint="eastAsia"/>
          <w:b/>
          <w:bCs/>
          <w:sz w:val="24"/>
        </w:rPr>
        <w:t>响应文件无效</w:t>
      </w:r>
      <w:r>
        <w:rPr>
          <w:sz w:val="24"/>
        </w:rPr>
        <w:t>：</w:t>
      </w:r>
    </w:p>
    <w:p>
      <w:pPr>
        <w:numPr>
          <w:ilvl w:val="1"/>
          <w:numId w:val="10"/>
        </w:numPr>
        <w:tabs>
          <w:tab w:val="left" w:pos="1080"/>
          <w:tab w:val="left" w:pos="2014"/>
          <w:tab w:val="clear" w:pos="0"/>
        </w:tabs>
        <w:snapToGrid w:val="0"/>
        <w:spacing w:line="360" w:lineRule="auto"/>
        <w:ind w:left="0" w:firstLine="0"/>
        <w:rPr>
          <w:sz w:val="24"/>
        </w:rPr>
      </w:pPr>
      <w:r>
        <w:rPr>
          <w:sz w:val="24"/>
        </w:rPr>
        <w:t>供应商对实质性变动不予确认的；</w:t>
      </w:r>
    </w:p>
    <w:p>
      <w:pPr>
        <w:numPr>
          <w:ilvl w:val="1"/>
          <w:numId w:val="10"/>
        </w:numPr>
        <w:tabs>
          <w:tab w:val="left" w:pos="1080"/>
          <w:tab w:val="left" w:pos="2014"/>
          <w:tab w:val="clear" w:pos="0"/>
        </w:tabs>
        <w:snapToGrid w:val="0"/>
        <w:spacing w:line="360" w:lineRule="auto"/>
        <w:ind w:left="0" w:firstLine="0"/>
        <w:rPr>
          <w:sz w:val="24"/>
        </w:rPr>
      </w:pPr>
      <w:r>
        <w:rPr>
          <w:sz w:val="24"/>
        </w:rPr>
        <w:t>不满足谈判文件</w:t>
      </w:r>
      <w:r>
        <w:rPr>
          <w:rFonts w:ascii="Segoe UI Symbol" w:hAnsi="Segoe UI Symbol" w:cs="Segoe UI Symbol"/>
          <w:sz w:val="24"/>
        </w:rPr>
        <w:t>★</w:t>
      </w:r>
      <w:r>
        <w:rPr>
          <w:sz w:val="24"/>
        </w:rPr>
        <w:t>号条款或谈判文件技术指标超出谈判文件</w:t>
      </w:r>
      <w:r>
        <w:rPr>
          <w:rFonts w:hint="eastAsia"/>
          <w:sz w:val="24"/>
        </w:rPr>
        <w:t>《</w:t>
      </w:r>
      <w:r>
        <w:rPr>
          <w:sz w:val="24"/>
        </w:rPr>
        <w:t>采购需求</w:t>
      </w:r>
      <w:r>
        <w:rPr>
          <w:rFonts w:hint="eastAsia"/>
          <w:sz w:val="24"/>
        </w:rPr>
        <w:t>》</w:t>
      </w:r>
      <w:r>
        <w:rPr>
          <w:sz w:val="24"/>
        </w:rPr>
        <w:t>中主要技术参数允许偏差的最大范围的（如有）；</w:t>
      </w:r>
    </w:p>
    <w:p>
      <w:pPr>
        <w:numPr>
          <w:ilvl w:val="1"/>
          <w:numId w:val="10"/>
        </w:numPr>
        <w:tabs>
          <w:tab w:val="left" w:pos="1080"/>
          <w:tab w:val="left" w:pos="2014"/>
          <w:tab w:val="clear" w:pos="0"/>
        </w:tabs>
        <w:snapToGrid w:val="0"/>
        <w:spacing w:line="360" w:lineRule="auto"/>
        <w:ind w:left="0" w:firstLine="0"/>
        <w:rPr>
          <w:sz w:val="24"/>
        </w:rPr>
      </w:pPr>
      <w:r>
        <w:rPr>
          <w:sz w:val="24"/>
        </w:rPr>
        <w:t>未按照谈判小组规定的时间、逾期提交最终报价的；</w:t>
      </w:r>
    </w:p>
    <w:p>
      <w:pPr>
        <w:numPr>
          <w:ilvl w:val="1"/>
          <w:numId w:val="10"/>
        </w:numPr>
        <w:tabs>
          <w:tab w:val="left" w:pos="1080"/>
          <w:tab w:val="left" w:pos="2014"/>
          <w:tab w:val="clear" w:pos="0"/>
        </w:tabs>
        <w:snapToGrid w:val="0"/>
        <w:spacing w:line="360" w:lineRule="auto"/>
        <w:ind w:left="0" w:firstLine="0"/>
        <w:rPr>
          <w:sz w:val="24"/>
        </w:rPr>
      </w:pPr>
      <w:r>
        <w:rPr>
          <w:sz w:val="24"/>
        </w:rPr>
        <w:t>如供应商的最终报价超过谈判文件中规定的项目/采购包预算金额或者项目/采购包最高限价的；</w:t>
      </w:r>
    </w:p>
    <w:p>
      <w:pPr>
        <w:numPr>
          <w:ilvl w:val="1"/>
          <w:numId w:val="10"/>
        </w:numPr>
        <w:tabs>
          <w:tab w:val="left" w:pos="1080"/>
          <w:tab w:val="left" w:pos="2014"/>
          <w:tab w:val="clear" w:pos="0"/>
        </w:tabs>
        <w:snapToGrid w:val="0"/>
        <w:spacing w:line="360" w:lineRule="auto"/>
        <w:ind w:left="0" w:firstLine="0"/>
        <w:rPr>
          <w:sz w:val="24"/>
        </w:rPr>
      </w:pPr>
      <w:r>
        <w:rPr>
          <w:sz w:val="24"/>
        </w:rPr>
        <w:t>响应文件中出现可选择性或可调整的报价的（谈判文件另有规定的除外）；</w:t>
      </w:r>
    </w:p>
    <w:p>
      <w:pPr>
        <w:numPr>
          <w:ilvl w:val="1"/>
          <w:numId w:val="10"/>
        </w:numPr>
        <w:tabs>
          <w:tab w:val="left" w:pos="1080"/>
          <w:tab w:val="left" w:pos="2014"/>
          <w:tab w:val="clear" w:pos="0"/>
        </w:tabs>
        <w:snapToGrid w:val="0"/>
        <w:spacing w:line="360" w:lineRule="auto"/>
        <w:ind w:left="0" w:firstLine="0"/>
        <w:rPr>
          <w:sz w:val="24"/>
        </w:rPr>
      </w:pPr>
      <w:r>
        <w:rPr>
          <w:sz w:val="24"/>
        </w:rPr>
        <w:t>最终报价出现前后不一致，供应商对修正后的报价不予确认的；</w:t>
      </w:r>
    </w:p>
    <w:p>
      <w:pPr>
        <w:numPr>
          <w:ilvl w:val="0"/>
          <w:numId w:val="10"/>
        </w:numPr>
        <w:tabs>
          <w:tab w:val="left" w:pos="360"/>
        </w:tabs>
        <w:snapToGrid w:val="0"/>
        <w:spacing w:line="360" w:lineRule="auto"/>
        <w:ind w:left="0" w:firstLine="0"/>
        <w:outlineLvl w:val="1"/>
        <w:rPr>
          <w:sz w:val="24"/>
        </w:rPr>
      </w:pPr>
      <w:r>
        <w:rPr>
          <w:sz w:val="24"/>
        </w:rPr>
        <w:t>评定成交的标准与确定</w:t>
      </w:r>
      <w:bookmarkStart w:id="626" w:name="_Toc151193934"/>
      <w:bookmarkStart w:id="627" w:name="_Toc151193860"/>
      <w:bookmarkStart w:id="628" w:name="_Toc305158888"/>
      <w:bookmarkStart w:id="629" w:name="_Toc164229387"/>
      <w:bookmarkStart w:id="630" w:name="_Toc151193716"/>
      <w:bookmarkStart w:id="631" w:name="_Toc142311048"/>
      <w:bookmarkStart w:id="632" w:name="_Toc151190173"/>
      <w:bookmarkStart w:id="633" w:name="_Toc265228384"/>
      <w:bookmarkStart w:id="634" w:name="_Toc164608815"/>
      <w:bookmarkStart w:id="635" w:name="_Toc127151747"/>
      <w:bookmarkStart w:id="636" w:name="_Toc226965819"/>
      <w:bookmarkStart w:id="637" w:name="_Toc151193644"/>
      <w:bookmarkStart w:id="638" w:name="_Toc264969236"/>
      <w:bookmarkStart w:id="639" w:name="_Toc226337242"/>
      <w:bookmarkStart w:id="640" w:name="_Toc151193788"/>
      <w:bookmarkStart w:id="641" w:name="_Toc150480784"/>
      <w:bookmarkStart w:id="642" w:name="_Toc305158814"/>
      <w:bookmarkStart w:id="643" w:name="_Toc150509297"/>
      <w:bookmarkStart w:id="644" w:name="_Toc127161460"/>
      <w:bookmarkStart w:id="645" w:name="_Toc150774751"/>
      <w:bookmarkStart w:id="646" w:name="_Toc226309790"/>
      <w:bookmarkStart w:id="647" w:name="_Toc149720839"/>
      <w:bookmarkStart w:id="648" w:name="_Ref467307010"/>
      <w:bookmarkStart w:id="649" w:name="_Toc164351640"/>
      <w:bookmarkStart w:id="650" w:name="_Toc164608660"/>
      <w:bookmarkStart w:id="651" w:name="_Toc150774646"/>
      <w:bookmarkStart w:id="652" w:name="_Toc226965736"/>
      <w:bookmarkStart w:id="653" w:name="_Toc195842911"/>
      <w:bookmarkStart w:id="654" w:name="_Toc520356170"/>
      <w:bookmarkStart w:id="655" w:name="_Toc164229241"/>
      <w:bookmarkStart w:id="656" w:name="_Toc127151546"/>
      <w:r>
        <w:rPr>
          <w:sz w:val="24"/>
        </w:rPr>
        <w:t>成交候选人名单</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pPr>
        <w:numPr>
          <w:ilvl w:val="1"/>
          <w:numId w:val="10"/>
        </w:numPr>
        <w:tabs>
          <w:tab w:val="left" w:pos="1080"/>
          <w:tab w:val="left" w:pos="2014"/>
          <w:tab w:val="clear" w:pos="0"/>
        </w:tabs>
        <w:snapToGrid w:val="0"/>
        <w:spacing w:line="360" w:lineRule="auto"/>
        <w:ind w:left="0" w:firstLine="0"/>
        <w:rPr>
          <w:sz w:val="24"/>
        </w:rPr>
      </w:pPr>
      <w:r>
        <w:rPr>
          <w:sz w:val="24"/>
        </w:rPr>
        <w:t>谈判小组将从质量和服务均能满足谈判文件实质性响应要求的供应商中，按照最终报价（如有按本章节进行算术修正或政策调整的，以修正或调整后的最终报价计算）由低到高的顺序提出</w:t>
      </w:r>
      <w:r>
        <w:rPr>
          <w:rFonts w:hint="eastAsia"/>
          <w:sz w:val="24"/>
        </w:rPr>
        <w:t>不少于3</w:t>
      </w:r>
      <w:r>
        <w:rPr>
          <w:sz w:val="24"/>
        </w:rPr>
        <w:t>名成交候选人，并编写评审报告。</w:t>
      </w:r>
    </w:p>
    <w:p>
      <w:pPr>
        <w:numPr>
          <w:ilvl w:val="1"/>
          <w:numId w:val="10"/>
        </w:numPr>
        <w:tabs>
          <w:tab w:val="left" w:pos="1080"/>
          <w:tab w:val="left" w:pos="1872"/>
          <w:tab w:val="clear" w:pos="0"/>
        </w:tabs>
        <w:snapToGrid w:val="0"/>
        <w:spacing w:line="360" w:lineRule="auto"/>
        <w:ind w:left="0" w:firstLine="0"/>
        <w:rPr>
          <w:sz w:val="24"/>
        </w:rPr>
      </w:pPr>
      <w:r>
        <w:rPr>
          <w:sz w:val="24"/>
        </w:rPr>
        <w:t>谈判小组要对评审结果进行复核，特别是对排名第一的、响应文件被认定为无效的情形进行重点复核。</w:t>
      </w:r>
    </w:p>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620"/>
    <w:p>
      <w:pPr>
        <w:numPr>
          <w:ilvl w:val="0"/>
          <w:numId w:val="10"/>
        </w:numPr>
        <w:tabs>
          <w:tab w:val="left" w:pos="360"/>
        </w:tabs>
        <w:snapToGrid w:val="0"/>
        <w:spacing w:line="360" w:lineRule="auto"/>
        <w:ind w:left="0" w:firstLine="0"/>
        <w:outlineLvl w:val="1"/>
        <w:rPr>
          <w:sz w:val="24"/>
        </w:rPr>
      </w:pPr>
      <w:bookmarkStart w:id="657" w:name="_Toc305158897"/>
      <w:bookmarkStart w:id="658" w:name="_Toc226337251"/>
      <w:bookmarkStart w:id="659" w:name="_Toc353873665"/>
      <w:bookmarkStart w:id="660" w:name="_Toc150480793"/>
      <w:bookmarkStart w:id="661" w:name="_Toc127151555"/>
      <w:bookmarkStart w:id="662" w:name="_Toc305158823"/>
      <w:bookmarkStart w:id="663" w:name="_Toc195842920"/>
      <w:bookmarkStart w:id="664" w:name="_Toc226965828"/>
      <w:bookmarkStart w:id="665" w:name="_Toc265228393"/>
      <w:bookmarkStart w:id="666" w:name="_Toc353825545"/>
      <w:bookmarkStart w:id="667" w:name="_Toc353873935"/>
      <w:bookmarkStart w:id="668" w:name="_Toc264969245"/>
      <w:bookmarkStart w:id="669" w:name="_Toc142311057"/>
      <w:bookmarkStart w:id="670" w:name="_Toc150774760"/>
      <w:r>
        <w:rPr>
          <w:sz w:val="24"/>
        </w:rPr>
        <w:t>报告违法行为</w:t>
      </w:r>
    </w:p>
    <w:p>
      <w:pPr>
        <w:numPr>
          <w:ilvl w:val="1"/>
          <w:numId w:val="10"/>
        </w:numPr>
        <w:tabs>
          <w:tab w:val="left" w:pos="1080"/>
          <w:tab w:val="left" w:pos="2014"/>
          <w:tab w:val="clear" w:pos="0"/>
        </w:tabs>
        <w:snapToGrid w:val="0"/>
        <w:spacing w:line="360" w:lineRule="auto"/>
        <w:ind w:left="0" w:firstLine="0"/>
        <w:rPr>
          <w:sz w:val="24"/>
        </w:rPr>
      </w:pPr>
      <w:r>
        <w:rPr>
          <w:sz w:val="24"/>
        </w:rPr>
        <w:t>谈判小组在评审过程中发现供应商有行贿、提供虚假材料或者串通等违法行为时，有向采购人、采购代理机构或者有关部门报告的职责。</w:t>
      </w:r>
    </w:p>
    <w:p>
      <w:pPr>
        <w:spacing w:line="360" w:lineRule="auto"/>
        <w:ind w:firstLine="3012" w:firstLineChars="1000"/>
        <w:outlineLvl w:val="0"/>
        <w:rPr>
          <w:b/>
          <w:sz w:val="30"/>
          <w:szCs w:val="30"/>
        </w:rPr>
      </w:pPr>
      <w:bookmarkStart w:id="671" w:name="_Toc99301376"/>
    </w:p>
    <w:p>
      <w:pPr>
        <w:spacing w:line="360" w:lineRule="auto"/>
        <w:ind w:firstLine="3012" w:firstLineChars="1000"/>
        <w:outlineLvl w:val="0"/>
        <w:rPr>
          <w:b/>
          <w:sz w:val="36"/>
          <w:szCs w:val="36"/>
        </w:rPr>
      </w:pPr>
      <w:r>
        <w:rPr>
          <w:b/>
          <w:sz w:val="30"/>
          <w:szCs w:val="30"/>
        </w:rPr>
        <w:t>第四章   采购需求</w:t>
      </w:r>
      <w:bookmarkEnd w:id="671"/>
    </w:p>
    <w:p>
      <w:pPr>
        <w:rPr>
          <w:sz w:val="24"/>
        </w:rPr>
      </w:pPr>
    </w:p>
    <w:p>
      <w:pPr>
        <w:pStyle w:val="97"/>
        <w:numPr>
          <w:ilvl w:val="0"/>
          <w:numId w:val="13"/>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pPr>
        <w:spacing w:line="360" w:lineRule="auto"/>
        <w:contextualSpacing/>
        <w:rPr>
          <w:color w:val="auto"/>
        </w:rPr>
      </w:pPr>
      <w:r>
        <w:rPr>
          <w:rFonts w:hint="eastAsia"/>
          <w:bCs/>
          <w:sz w:val="24"/>
        </w:rPr>
        <w:t xml:space="preserve">  </w:t>
      </w:r>
      <w:r>
        <w:rPr>
          <w:bCs/>
          <w:sz w:val="24"/>
        </w:rPr>
        <w:t>采购标的</w:t>
      </w:r>
      <w:r>
        <w:rPr>
          <w:rFonts w:hint="eastAsia"/>
          <w:bCs/>
          <w:sz w:val="24"/>
        </w:rPr>
        <w:t>：</w:t>
      </w:r>
      <w:r>
        <w:rPr>
          <w:rFonts w:hint="eastAsia" w:ascii="宋体" w:hAnsi="宋体" w:cs="宋体"/>
          <w:bCs/>
          <w:sz w:val="24"/>
          <w:szCs w:val="24"/>
          <w:highlight w:val="none"/>
          <w:lang w:val="en-US" w:eastAsia="zh-CN"/>
        </w:rPr>
        <w:t>金城镇养老服务综合体修缮工程</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具体详见图纸及工程量清单（含编制说</w:t>
      </w:r>
      <w:r>
        <w:rPr>
          <w:rFonts w:hint="eastAsia" w:ascii="宋体" w:hAnsi="宋体" w:eastAsia="宋体" w:cs="宋体"/>
          <w:bCs/>
          <w:color w:val="auto"/>
          <w:sz w:val="24"/>
          <w:szCs w:val="24"/>
          <w:highlight w:val="none"/>
        </w:rPr>
        <w:t>明）</w:t>
      </w:r>
      <w:r>
        <w:rPr>
          <w:rFonts w:hint="eastAsia" w:ascii="宋体" w:hAnsi="宋体" w:cs="宋体"/>
          <w:color w:val="auto"/>
          <w:sz w:val="24"/>
        </w:rPr>
        <w:t>。</w:t>
      </w:r>
    </w:p>
    <w:p>
      <w:pPr>
        <w:pStyle w:val="97"/>
        <w:numPr>
          <w:ilvl w:val="0"/>
          <w:numId w:val="13"/>
        </w:numPr>
        <w:spacing w:line="360" w:lineRule="auto"/>
        <w:ind w:firstLineChars="0"/>
        <w:contextualSpacing/>
        <w:rPr>
          <w:rFonts w:ascii="Times New Roman" w:hAnsi="Times New Roman"/>
          <w:b/>
          <w:color w:val="auto"/>
          <w:sz w:val="24"/>
          <w:szCs w:val="24"/>
        </w:rPr>
      </w:pPr>
      <w:r>
        <w:rPr>
          <w:rFonts w:ascii="Times New Roman" w:hAnsi="Times New Roman"/>
          <w:b/>
          <w:color w:val="auto"/>
          <w:sz w:val="24"/>
          <w:szCs w:val="24"/>
        </w:rPr>
        <w:t>商务要求</w:t>
      </w:r>
    </w:p>
    <w:p>
      <w:pPr>
        <w:numPr>
          <w:ilvl w:val="0"/>
          <w:numId w:val="14"/>
        </w:numPr>
        <w:spacing w:line="360" w:lineRule="auto"/>
        <w:contextualSpacing/>
        <w:rPr>
          <w:color w:val="auto"/>
          <w:sz w:val="24"/>
        </w:rPr>
      </w:pPr>
      <w:r>
        <w:rPr>
          <w:rFonts w:hint="eastAsia"/>
          <w:color w:val="auto"/>
          <w:sz w:val="24"/>
        </w:rPr>
        <w:t>工期：</w:t>
      </w:r>
      <w:r>
        <w:rPr>
          <w:rFonts w:hint="eastAsia"/>
          <w:color w:val="auto"/>
          <w:sz w:val="24"/>
          <w:lang w:val="en-US" w:eastAsia="zh-CN"/>
        </w:rPr>
        <w:t>40日历天</w:t>
      </w:r>
    </w:p>
    <w:p>
      <w:pPr>
        <w:numPr>
          <w:ilvl w:val="0"/>
          <w:numId w:val="14"/>
        </w:numPr>
        <w:spacing w:line="360" w:lineRule="auto"/>
        <w:contextualSpacing/>
        <w:rPr>
          <w:i/>
          <w:color w:val="auto"/>
          <w:sz w:val="24"/>
        </w:rPr>
      </w:pPr>
      <w:r>
        <w:rPr>
          <w:rFonts w:hint="eastAsia"/>
          <w:color w:val="auto"/>
          <w:sz w:val="24"/>
        </w:rPr>
        <w:t>地点：常州市金坛区</w:t>
      </w:r>
    </w:p>
    <w:p>
      <w:pPr>
        <w:numPr>
          <w:ilvl w:val="0"/>
          <w:numId w:val="14"/>
        </w:numPr>
        <w:spacing w:line="360" w:lineRule="auto"/>
        <w:contextualSpacing/>
        <w:rPr>
          <w:color w:val="auto"/>
          <w:sz w:val="24"/>
        </w:rPr>
      </w:pPr>
      <w:r>
        <w:rPr>
          <w:rFonts w:hint="eastAsia"/>
          <w:color w:val="auto"/>
          <w:sz w:val="24"/>
        </w:rPr>
        <w:t>付款方式：</w:t>
      </w:r>
    </w:p>
    <w:p>
      <w:pPr>
        <w:spacing w:line="360" w:lineRule="auto"/>
        <w:contextualSpacing/>
        <w:rPr>
          <w:rFonts w:hint="eastAsia"/>
          <w:color w:val="auto"/>
          <w:sz w:val="24"/>
        </w:rPr>
      </w:pPr>
      <w:r>
        <w:rPr>
          <w:rFonts w:hint="eastAsia"/>
          <w:color w:val="auto"/>
          <w:sz w:val="24"/>
        </w:rPr>
        <w:t>工程竣工验收合格后支付合同价款（扣除暂列金额）的</w:t>
      </w:r>
      <w:r>
        <w:rPr>
          <w:rFonts w:hint="eastAsia"/>
          <w:color w:val="auto"/>
          <w:sz w:val="24"/>
          <w:lang w:val="en-US" w:eastAsia="zh-CN"/>
        </w:rPr>
        <w:t>40</w:t>
      </w:r>
      <w:r>
        <w:rPr>
          <w:rFonts w:hint="eastAsia"/>
          <w:color w:val="auto"/>
          <w:sz w:val="24"/>
        </w:rPr>
        <w:t>%，竣工验收合格</w:t>
      </w:r>
      <w:r>
        <w:rPr>
          <w:rFonts w:hint="eastAsia"/>
          <w:color w:val="auto"/>
          <w:sz w:val="24"/>
          <w:lang w:eastAsia="zh-CN"/>
        </w:rPr>
        <w:t>满一年且</w:t>
      </w:r>
      <w:r>
        <w:rPr>
          <w:rFonts w:hint="eastAsia"/>
          <w:color w:val="auto"/>
          <w:sz w:val="24"/>
        </w:rPr>
        <w:t>经审计后支付至审计价款的</w:t>
      </w:r>
      <w:r>
        <w:rPr>
          <w:rFonts w:hint="eastAsia"/>
          <w:color w:val="auto"/>
          <w:sz w:val="24"/>
          <w:lang w:val="en-US" w:eastAsia="zh-CN"/>
        </w:rPr>
        <w:t>70</w:t>
      </w:r>
      <w:r>
        <w:rPr>
          <w:rFonts w:hint="eastAsia"/>
          <w:color w:val="auto"/>
          <w:sz w:val="24"/>
        </w:rPr>
        <w:t>%，竣工验收合格</w:t>
      </w:r>
      <w:r>
        <w:rPr>
          <w:rFonts w:hint="eastAsia"/>
          <w:color w:val="auto"/>
          <w:sz w:val="24"/>
          <w:lang w:eastAsia="zh-CN"/>
        </w:rPr>
        <w:t>满两年</w:t>
      </w:r>
      <w:r>
        <w:rPr>
          <w:rFonts w:hint="eastAsia"/>
          <w:color w:val="auto"/>
          <w:sz w:val="24"/>
        </w:rPr>
        <w:t>付清余款。</w:t>
      </w:r>
    </w:p>
    <w:p>
      <w:pPr>
        <w:spacing w:line="360" w:lineRule="auto"/>
        <w:contextualSpacing/>
        <w:rPr>
          <w:color w:val="auto"/>
          <w:sz w:val="24"/>
        </w:rPr>
      </w:pPr>
      <w:r>
        <w:rPr>
          <w:rFonts w:hint="eastAsia"/>
          <w:color w:val="auto"/>
          <w:sz w:val="24"/>
        </w:rPr>
        <w:t>4. 质保</w:t>
      </w:r>
      <w:r>
        <w:rPr>
          <w:rFonts w:hint="eastAsia" w:ascii="宋体" w:hAnsi="宋体" w:cs="宋体"/>
          <w:color w:val="auto"/>
          <w:sz w:val="24"/>
        </w:rPr>
        <w:t>期：本工程质保期2年。</w:t>
      </w:r>
    </w:p>
    <w:p>
      <w:pPr>
        <w:spacing w:line="360" w:lineRule="auto"/>
        <w:contextualSpacing/>
        <w:rPr>
          <w:sz w:val="24"/>
        </w:rPr>
      </w:pPr>
      <w:r>
        <w:rPr>
          <w:rFonts w:hint="eastAsia"/>
          <w:sz w:val="24"/>
        </w:rPr>
        <w:t>5、质量标准：工程质量合格，且满足采购人需求。</w:t>
      </w:r>
    </w:p>
    <w:p>
      <w:pPr>
        <w:pStyle w:val="97"/>
        <w:spacing w:line="360" w:lineRule="auto"/>
        <w:ind w:firstLine="0" w:firstLineChars="0"/>
        <w:contextualSpacing/>
        <w:rPr>
          <w:rFonts w:ascii="Times New Roman" w:hAnsi="Times New Roman"/>
          <w:b/>
          <w:sz w:val="24"/>
          <w:szCs w:val="24"/>
        </w:rPr>
      </w:pPr>
      <w:r>
        <w:rPr>
          <w:rFonts w:hint="eastAsia" w:ascii="Times New Roman" w:hAnsi="Times New Roman"/>
          <w:b/>
          <w:sz w:val="24"/>
          <w:szCs w:val="24"/>
        </w:rPr>
        <w:t>三、工程量清单</w:t>
      </w:r>
    </w:p>
    <w:p>
      <w:pPr>
        <w:spacing w:line="360" w:lineRule="auto"/>
        <w:contextualSpacing/>
        <w:rPr>
          <w:sz w:val="24"/>
        </w:rPr>
      </w:pPr>
      <w:r>
        <w:rPr>
          <w:rFonts w:hint="eastAsia"/>
          <w:sz w:val="24"/>
        </w:rPr>
        <w:t>方案跟工程量清单见附件。</w:t>
      </w:r>
    </w:p>
    <w:p>
      <w:pPr>
        <w:spacing w:line="360" w:lineRule="auto"/>
        <w:contextualSpacing/>
        <w:rPr>
          <w:b/>
          <w:i/>
          <w:sz w:val="24"/>
        </w:rPr>
      </w:pPr>
    </w:p>
    <w:p>
      <w:pPr>
        <w:pStyle w:val="97"/>
        <w:adjustRightInd w:val="0"/>
        <w:spacing w:line="360" w:lineRule="auto"/>
        <w:ind w:firstLine="480"/>
        <w:contextualSpacing/>
        <w:jc w:val="left"/>
        <w:rPr>
          <w:rFonts w:ascii="Times New Roman" w:hAnsi="Times New Roman"/>
          <w:sz w:val="24"/>
          <w:szCs w:val="24"/>
        </w:rPr>
      </w:pPr>
    </w:p>
    <w:p>
      <w:pPr>
        <w:spacing w:line="440" w:lineRule="exact"/>
        <w:rPr>
          <w:b/>
        </w:rPr>
      </w:pPr>
    </w:p>
    <w:p>
      <w:pPr>
        <w:autoSpaceDE w:val="0"/>
        <w:autoSpaceDN w:val="0"/>
        <w:rPr>
          <w:bCs/>
        </w:rPr>
      </w:pPr>
    </w:p>
    <w:p/>
    <w:p>
      <w:pPr>
        <w:widowControl/>
        <w:jc w:val="center"/>
        <w:rPr>
          <w:b/>
          <w:sz w:val="36"/>
          <w:szCs w:val="36"/>
        </w:rPr>
      </w:pPr>
      <w:r>
        <w:rPr>
          <w:b/>
          <w:sz w:val="36"/>
          <w:szCs w:val="36"/>
        </w:rPr>
        <w:br w:type="page"/>
      </w:r>
      <w:bookmarkStart w:id="672" w:name="_Toc99301377"/>
      <w:r>
        <w:rPr>
          <w:b/>
          <w:sz w:val="30"/>
          <w:szCs w:val="30"/>
        </w:rPr>
        <w:t>第五章   合同草案</w:t>
      </w:r>
      <w:r>
        <w:rPr>
          <w:rFonts w:hint="eastAsia"/>
          <w:b/>
          <w:sz w:val="30"/>
          <w:szCs w:val="30"/>
        </w:rPr>
        <w:t>条款</w:t>
      </w:r>
      <w:bookmarkEnd w:id="672"/>
    </w:p>
    <w:p>
      <w:pPr>
        <w:tabs>
          <w:tab w:val="left" w:pos="900"/>
          <w:tab w:val="left" w:pos="1080"/>
        </w:tabs>
        <w:snapToGrid w:val="0"/>
        <w:spacing w:line="360" w:lineRule="auto"/>
        <w:rPr>
          <w:kern w:val="0"/>
          <w:sz w:val="18"/>
          <w:szCs w:val="18"/>
        </w:rPr>
      </w:pPr>
    </w:p>
    <w:p>
      <w:pPr>
        <w:tabs>
          <w:tab w:val="left" w:pos="900"/>
          <w:tab w:val="left" w:pos="1080"/>
        </w:tabs>
        <w:snapToGrid w:val="0"/>
        <w:spacing w:line="360" w:lineRule="auto"/>
        <w:rPr>
          <w:kern w:val="0"/>
          <w:sz w:val="18"/>
          <w:szCs w:val="18"/>
        </w:rPr>
      </w:pPr>
    </w:p>
    <w:p>
      <w:pPr>
        <w:tabs>
          <w:tab w:val="left" w:pos="900"/>
          <w:tab w:val="left" w:pos="1080"/>
        </w:tabs>
        <w:snapToGrid w:val="0"/>
        <w:spacing w:line="360" w:lineRule="auto"/>
        <w:jc w:val="center"/>
        <w:rPr>
          <w:rFonts w:ascii="宋体" w:hAnsi="宋体" w:cs="宋体"/>
          <w:b/>
          <w:bCs/>
          <w:kern w:val="0"/>
          <w:sz w:val="44"/>
          <w:szCs w:val="44"/>
        </w:rPr>
      </w:pPr>
      <w:bookmarkStart w:id="673" w:name="_Toc351203652"/>
      <w:bookmarkStart w:id="674" w:name="_Toc455136306"/>
      <w:bookmarkStart w:id="675" w:name="_Toc491507715"/>
      <w:r>
        <w:rPr>
          <w:rFonts w:hint="eastAsia" w:ascii="宋体" w:hAnsi="宋体" w:cs="宋体"/>
          <w:b/>
          <w:bCs/>
          <w:kern w:val="0"/>
          <w:sz w:val="44"/>
          <w:szCs w:val="44"/>
        </w:rPr>
        <w:t>合同协议书</w:t>
      </w:r>
    </w:p>
    <w:p>
      <w:pPr>
        <w:tabs>
          <w:tab w:val="left" w:pos="900"/>
          <w:tab w:val="left" w:pos="1080"/>
        </w:tabs>
        <w:snapToGrid w:val="0"/>
        <w:spacing w:line="360" w:lineRule="auto"/>
        <w:rPr>
          <w:rFonts w:ascii="宋体" w:hAnsi="宋体" w:cs="宋体"/>
          <w:kern w:val="0"/>
          <w:sz w:val="24"/>
        </w:rPr>
      </w:pP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tbl>
      <w:tblPr>
        <w:tblStyle w:val="43"/>
        <w:tblW w:w="0" w:type="auto"/>
        <w:jc w:val="center"/>
        <w:tblLayout w:type="fixed"/>
        <w:tblCellMar>
          <w:top w:w="0" w:type="dxa"/>
          <w:left w:w="108" w:type="dxa"/>
          <w:bottom w:w="0" w:type="dxa"/>
          <w:right w:w="108" w:type="dxa"/>
        </w:tblCellMar>
      </w:tblPr>
      <w:tblGrid>
        <w:gridCol w:w="2544"/>
        <w:gridCol w:w="5573"/>
      </w:tblGrid>
      <w:tr>
        <w:tblPrEx>
          <w:tblCellMar>
            <w:top w:w="0" w:type="dxa"/>
            <w:left w:w="108" w:type="dxa"/>
            <w:bottom w:w="0" w:type="dxa"/>
            <w:right w:w="108" w:type="dxa"/>
          </w:tblCellMar>
        </w:tblPrEx>
        <w:trPr>
          <w:trHeight w:val="962" w:hRule="atLeast"/>
          <w:jc w:val="center"/>
        </w:trPr>
        <w:tc>
          <w:tcPr>
            <w:tcW w:w="2544" w:type="dxa"/>
            <w:tcBorders>
              <w:top w:val="single" w:color="auto" w:sz="4" w:space="0"/>
              <w:left w:val="single" w:color="auto" w:sz="4" w:space="0"/>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r>
              <w:rPr>
                <w:rFonts w:hint="eastAsia" w:ascii="宋体" w:hAnsi="宋体" w:cs="宋体"/>
                <w:b/>
                <w:bCs/>
                <w:kern w:val="0"/>
                <w:sz w:val="28"/>
                <w:szCs w:val="28"/>
              </w:rPr>
              <w:t>工程名称</w:t>
            </w:r>
          </w:p>
        </w:tc>
        <w:tc>
          <w:tcPr>
            <w:tcW w:w="5573" w:type="dxa"/>
            <w:tcBorders>
              <w:top w:val="single" w:color="auto" w:sz="4" w:space="0"/>
              <w:left w:val="nil"/>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p>
        </w:tc>
      </w:tr>
      <w:tr>
        <w:tblPrEx>
          <w:tblCellMar>
            <w:top w:w="0" w:type="dxa"/>
            <w:left w:w="108" w:type="dxa"/>
            <w:bottom w:w="0" w:type="dxa"/>
            <w:right w:w="108" w:type="dxa"/>
          </w:tblCellMar>
        </w:tblPrEx>
        <w:trPr>
          <w:trHeight w:val="1022" w:hRule="atLeast"/>
          <w:jc w:val="center"/>
        </w:trPr>
        <w:tc>
          <w:tcPr>
            <w:tcW w:w="2544" w:type="dxa"/>
            <w:tcBorders>
              <w:top w:val="single" w:color="auto" w:sz="4" w:space="0"/>
              <w:left w:val="single" w:color="auto" w:sz="4" w:space="0"/>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r>
              <w:rPr>
                <w:rFonts w:hint="eastAsia" w:ascii="宋体" w:hAnsi="宋体" w:cs="宋体"/>
                <w:b/>
                <w:bCs/>
                <w:kern w:val="0"/>
                <w:sz w:val="28"/>
                <w:szCs w:val="28"/>
              </w:rPr>
              <w:t>项目负责人</w:t>
            </w:r>
          </w:p>
        </w:tc>
        <w:tc>
          <w:tcPr>
            <w:tcW w:w="5573" w:type="dxa"/>
            <w:tcBorders>
              <w:top w:val="single" w:color="auto" w:sz="4" w:space="0"/>
              <w:left w:val="nil"/>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p>
        </w:tc>
      </w:tr>
      <w:tr>
        <w:tblPrEx>
          <w:tblCellMar>
            <w:top w:w="0" w:type="dxa"/>
            <w:left w:w="108" w:type="dxa"/>
            <w:bottom w:w="0" w:type="dxa"/>
            <w:right w:w="108" w:type="dxa"/>
          </w:tblCellMar>
        </w:tblPrEx>
        <w:trPr>
          <w:trHeight w:val="949" w:hRule="atLeast"/>
          <w:jc w:val="center"/>
        </w:trPr>
        <w:tc>
          <w:tcPr>
            <w:tcW w:w="2544" w:type="dxa"/>
            <w:tcBorders>
              <w:top w:val="single" w:color="auto" w:sz="4" w:space="0"/>
              <w:left w:val="single" w:color="auto" w:sz="4" w:space="0"/>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r>
              <w:rPr>
                <w:rFonts w:hint="eastAsia" w:ascii="宋体" w:hAnsi="宋体" w:cs="宋体"/>
                <w:b/>
                <w:bCs/>
                <w:kern w:val="0"/>
                <w:sz w:val="28"/>
                <w:szCs w:val="28"/>
              </w:rPr>
              <w:t>工期</w:t>
            </w:r>
          </w:p>
        </w:tc>
        <w:tc>
          <w:tcPr>
            <w:tcW w:w="5573" w:type="dxa"/>
            <w:tcBorders>
              <w:top w:val="single" w:color="auto" w:sz="4" w:space="0"/>
              <w:left w:val="nil"/>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p>
        </w:tc>
      </w:tr>
      <w:tr>
        <w:tblPrEx>
          <w:tblCellMar>
            <w:top w:w="0" w:type="dxa"/>
            <w:left w:w="108" w:type="dxa"/>
            <w:bottom w:w="0" w:type="dxa"/>
            <w:right w:w="108" w:type="dxa"/>
          </w:tblCellMar>
        </w:tblPrEx>
        <w:trPr>
          <w:trHeight w:val="962" w:hRule="atLeast"/>
          <w:jc w:val="center"/>
        </w:trPr>
        <w:tc>
          <w:tcPr>
            <w:tcW w:w="2544" w:type="dxa"/>
            <w:tcBorders>
              <w:top w:val="single" w:color="auto" w:sz="4" w:space="0"/>
              <w:left w:val="single" w:color="auto" w:sz="4" w:space="0"/>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r>
              <w:rPr>
                <w:rFonts w:hint="eastAsia" w:ascii="宋体" w:hAnsi="宋体" w:cs="宋体"/>
                <w:b/>
                <w:bCs/>
                <w:kern w:val="0"/>
                <w:sz w:val="28"/>
                <w:szCs w:val="28"/>
              </w:rPr>
              <w:t>施工单位</w:t>
            </w:r>
          </w:p>
        </w:tc>
        <w:tc>
          <w:tcPr>
            <w:tcW w:w="5573" w:type="dxa"/>
            <w:tcBorders>
              <w:top w:val="single" w:color="auto" w:sz="4" w:space="0"/>
              <w:left w:val="nil"/>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p>
        </w:tc>
      </w:tr>
      <w:tr>
        <w:tblPrEx>
          <w:tblCellMar>
            <w:top w:w="0" w:type="dxa"/>
            <w:left w:w="108" w:type="dxa"/>
            <w:bottom w:w="0" w:type="dxa"/>
            <w:right w:w="108" w:type="dxa"/>
          </w:tblCellMar>
        </w:tblPrEx>
        <w:trPr>
          <w:trHeight w:val="962" w:hRule="atLeast"/>
          <w:jc w:val="center"/>
        </w:trPr>
        <w:tc>
          <w:tcPr>
            <w:tcW w:w="2544" w:type="dxa"/>
            <w:tcBorders>
              <w:top w:val="single" w:color="auto" w:sz="4" w:space="0"/>
              <w:left w:val="single" w:color="auto" w:sz="4" w:space="0"/>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r>
              <w:rPr>
                <w:rFonts w:hint="eastAsia" w:ascii="宋体" w:hAnsi="宋体" w:cs="宋体"/>
                <w:b/>
                <w:bCs/>
                <w:kern w:val="0"/>
                <w:sz w:val="28"/>
                <w:szCs w:val="28"/>
              </w:rPr>
              <w:t>工程地点</w:t>
            </w:r>
          </w:p>
        </w:tc>
        <w:tc>
          <w:tcPr>
            <w:tcW w:w="5573" w:type="dxa"/>
            <w:tcBorders>
              <w:top w:val="single" w:color="auto" w:sz="4" w:space="0"/>
              <w:left w:val="nil"/>
              <w:bottom w:val="single" w:color="auto" w:sz="4" w:space="0"/>
              <w:right w:val="single" w:color="auto" w:sz="4" w:space="0"/>
            </w:tcBorders>
            <w:vAlign w:val="center"/>
          </w:tcPr>
          <w:p>
            <w:pPr>
              <w:tabs>
                <w:tab w:val="left" w:pos="900"/>
                <w:tab w:val="left" w:pos="1080"/>
              </w:tabs>
              <w:snapToGrid w:val="0"/>
              <w:spacing w:line="360" w:lineRule="auto"/>
              <w:jc w:val="center"/>
              <w:rPr>
                <w:rFonts w:ascii="宋体" w:hAnsi="宋体" w:cs="宋体"/>
                <w:b/>
                <w:bCs/>
                <w:kern w:val="0"/>
                <w:sz w:val="28"/>
                <w:szCs w:val="28"/>
              </w:rPr>
            </w:pPr>
          </w:p>
        </w:tc>
      </w:tr>
    </w:tbl>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jc w:val="center"/>
        <w:rPr>
          <w:rFonts w:ascii="宋体" w:hAnsi="宋体" w:cs="宋体"/>
          <w:kern w:val="0"/>
          <w:sz w:val="32"/>
          <w:szCs w:val="32"/>
        </w:rPr>
      </w:pPr>
      <w:r>
        <w:rPr>
          <w:rFonts w:hint="eastAsia" w:ascii="宋体" w:hAnsi="宋体" w:cs="宋体"/>
          <w:kern w:val="0"/>
          <w:sz w:val="32"/>
          <w:szCs w:val="32"/>
        </w:rPr>
        <w:t>国家工商行政管理局</w:t>
      </w:r>
    </w:p>
    <w:p>
      <w:pPr>
        <w:tabs>
          <w:tab w:val="left" w:pos="900"/>
          <w:tab w:val="left" w:pos="1080"/>
        </w:tabs>
        <w:snapToGrid w:val="0"/>
        <w:spacing w:line="360" w:lineRule="auto"/>
        <w:jc w:val="center"/>
        <w:rPr>
          <w:rFonts w:ascii="宋体" w:hAnsi="宋体" w:cs="宋体"/>
          <w:kern w:val="0"/>
          <w:sz w:val="32"/>
          <w:szCs w:val="32"/>
        </w:rPr>
      </w:pPr>
      <w:r>
        <w:rPr>
          <w:rFonts w:hint="eastAsia" w:ascii="宋体" w:hAnsi="宋体" w:cs="宋体"/>
          <w:kern w:val="0"/>
          <w:sz w:val="32"/>
          <w:szCs w:val="32"/>
        </w:rPr>
        <w:t xml:space="preserve">       中华人民共和国建设部   制定</w:t>
      </w:r>
    </w:p>
    <w:p>
      <w:pPr>
        <w:tabs>
          <w:tab w:val="left" w:pos="900"/>
          <w:tab w:val="left" w:pos="1080"/>
        </w:tabs>
        <w:snapToGrid w:val="0"/>
        <w:spacing w:line="360" w:lineRule="auto"/>
        <w:jc w:val="center"/>
        <w:rPr>
          <w:rFonts w:hint="eastAsia" w:ascii="宋体" w:hAnsi="宋体" w:cs="宋体"/>
          <w:b/>
          <w:bCs/>
          <w:kern w:val="0"/>
          <w:sz w:val="24"/>
        </w:rPr>
      </w:pPr>
    </w:p>
    <w:p>
      <w:pPr>
        <w:tabs>
          <w:tab w:val="left" w:pos="900"/>
          <w:tab w:val="left" w:pos="1080"/>
        </w:tabs>
        <w:snapToGrid w:val="0"/>
        <w:spacing w:line="360" w:lineRule="auto"/>
        <w:jc w:val="center"/>
        <w:rPr>
          <w:rFonts w:hint="eastAsia" w:ascii="宋体" w:hAnsi="宋体" w:cs="宋体"/>
          <w:b/>
          <w:bCs/>
          <w:kern w:val="0"/>
          <w:sz w:val="24"/>
        </w:rPr>
      </w:pPr>
    </w:p>
    <w:p>
      <w:pPr>
        <w:tabs>
          <w:tab w:val="left" w:pos="900"/>
          <w:tab w:val="left" w:pos="1080"/>
        </w:tabs>
        <w:snapToGrid w:val="0"/>
        <w:spacing w:line="360" w:lineRule="auto"/>
        <w:jc w:val="center"/>
        <w:rPr>
          <w:rFonts w:hint="eastAsia" w:ascii="宋体" w:hAnsi="宋体" w:cs="宋体"/>
          <w:b/>
          <w:bCs/>
          <w:kern w:val="0"/>
          <w:sz w:val="24"/>
        </w:rPr>
      </w:pPr>
    </w:p>
    <w:p>
      <w:pPr>
        <w:tabs>
          <w:tab w:val="left" w:pos="900"/>
          <w:tab w:val="left" w:pos="1080"/>
        </w:tabs>
        <w:snapToGrid w:val="0"/>
        <w:spacing w:line="360" w:lineRule="auto"/>
        <w:jc w:val="center"/>
        <w:rPr>
          <w:rFonts w:ascii="宋体" w:hAnsi="宋体" w:cs="宋体"/>
          <w:b/>
          <w:bCs/>
          <w:kern w:val="0"/>
          <w:sz w:val="24"/>
        </w:rPr>
      </w:pPr>
      <w:r>
        <w:rPr>
          <w:rFonts w:hint="eastAsia" w:ascii="宋体" w:hAnsi="宋体" w:cs="宋体"/>
          <w:b/>
          <w:bCs/>
          <w:kern w:val="0"/>
          <w:sz w:val="24"/>
        </w:rPr>
        <w:t>第一部分   协  议  书</w:t>
      </w:r>
    </w:p>
    <w:p>
      <w:pPr>
        <w:spacing w:line="560" w:lineRule="exact"/>
        <w:ind w:firstLine="482" w:firstLineChars="200"/>
        <w:rPr>
          <w:rFonts w:ascii="宋体" w:hAnsi="宋体" w:cs="宋体"/>
          <w:b/>
          <w:color w:val="000000"/>
          <w:sz w:val="24"/>
          <w:u w:val="single"/>
        </w:rPr>
      </w:pPr>
      <w:r>
        <w:rPr>
          <w:rFonts w:hint="eastAsia" w:ascii="宋体" w:hAnsi="宋体" w:cs="宋体"/>
          <w:b/>
          <w:color w:val="000000"/>
          <w:sz w:val="24"/>
        </w:rPr>
        <w:t>发包人（全称）：</w:t>
      </w:r>
    </w:p>
    <w:p>
      <w:pPr>
        <w:spacing w:line="560" w:lineRule="exact"/>
        <w:ind w:firstLine="482" w:firstLineChars="200"/>
        <w:rPr>
          <w:rFonts w:ascii="宋体" w:hAnsi="宋体" w:cs="宋体"/>
          <w:b/>
          <w:color w:val="000000"/>
          <w:sz w:val="24"/>
          <w:u w:val="single"/>
        </w:rPr>
      </w:pPr>
      <w:r>
        <w:rPr>
          <w:rFonts w:hint="eastAsia" w:ascii="宋体" w:hAnsi="宋体" w:cs="宋体"/>
          <w:b/>
          <w:color w:val="000000"/>
          <w:sz w:val="24"/>
        </w:rPr>
        <w:t>承包人（全称）：</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根据《中华人民共和国民法典》、《中华人民共和国建筑法》及有关法律规定，遵循平等、自愿、公平和诚实信用的原则，双方就工程施工及有关事项协商一致，共同达成如下协议：</w:t>
      </w:r>
    </w:p>
    <w:p>
      <w:pPr>
        <w:autoSpaceDE w:val="0"/>
        <w:autoSpaceDN w:val="0"/>
        <w:adjustRightInd w:val="0"/>
        <w:spacing w:line="560" w:lineRule="exact"/>
        <w:ind w:firstLine="482" w:firstLineChars="200"/>
        <w:rPr>
          <w:rFonts w:ascii="宋体" w:hAnsi="宋体" w:cs="宋体"/>
          <w:b/>
          <w:bCs/>
          <w:color w:val="000000"/>
          <w:sz w:val="24"/>
        </w:rPr>
      </w:pPr>
      <w:bookmarkStart w:id="676" w:name="_Toc489620071"/>
      <w:r>
        <w:rPr>
          <w:rFonts w:hint="eastAsia" w:ascii="宋体" w:hAnsi="宋体" w:cs="宋体"/>
          <w:b/>
          <w:bCs/>
          <w:color w:val="000000"/>
          <w:sz w:val="24"/>
        </w:rPr>
        <w:t>一、工程概况</w:t>
      </w:r>
      <w:bookmarkEnd w:id="676"/>
    </w:p>
    <w:p>
      <w:pPr>
        <w:autoSpaceDE w:val="0"/>
        <w:autoSpaceDN w:val="0"/>
        <w:adjustRightInd w:val="0"/>
        <w:spacing w:line="560" w:lineRule="exact"/>
        <w:ind w:firstLine="480" w:firstLineChars="200"/>
        <w:rPr>
          <w:rFonts w:ascii="宋体" w:hAnsi="宋体" w:cs="宋体"/>
          <w:color w:val="000000"/>
          <w:sz w:val="24"/>
          <w:u w:val="single"/>
        </w:rPr>
      </w:pPr>
      <w:r>
        <w:rPr>
          <w:rFonts w:hint="eastAsia" w:ascii="宋体" w:hAnsi="宋体" w:cs="宋体"/>
          <w:color w:val="000000"/>
          <w:sz w:val="24"/>
        </w:rPr>
        <w:t>1.工</w:t>
      </w:r>
      <w:r>
        <w:rPr>
          <w:rFonts w:hint="eastAsia" w:ascii="宋体" w:hAnsi="宋体" w:cs="宋体"/>
          <w:bCs/>
          <w:color w:val="000000"/>
          <w:sz w:val="24"/>
        </w:rPr>
        <w:t>程名称</w:t>
      </w:r>
      <w:r>
        <w:rPr>
          <w:rFonts w:hint="eastAsia" w:ascii="宋体" w:hAnsi="宋体" w:cs="宋体"/>
          <w:color w:val="000000"/>
          <w:sz w:val="24"/>
        </w:rPr>
        <w:t>：</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2.工程地点：</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3.资金来源：</w:t>
      </w:r>
      <w:r>
        <w:rPr>
          <w:rFonts w:hint="eastAsia" w:ascii="宋体" w:hAnsi="宋体" w:cs="宋体"/>
          <w:color w:val="000000"/>
          <w:sz w:val="24"/>
          <w:u w:val="single"/>
        </w:rPr>
        <w:t xml:space="preserve">      </w:t>
      </w:r>
      <w:r>
        <w:rPr>
          <w:rFonts w:hint="eastAsia" w:ascii="宋体" w:hAnsi="宋体" w:cs="宋体"/>
          <w:bCs/>
          <w:color w:val="000000"/>
          <w:sz w:val="24"/>
        </w:rPr>
        <w:t>。</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4.工程内容：</w:t>
      </w:r>
      <w:r>
        <w:rPr>
          <w:rFonts w:hint="eastAsia" w:ascii="宋体" w:hAnsi="宋体" w:cs="宋体"/>
          <w:color w:val="000000"/>
          <w:sz w:val="24"/>
          <w:u w:val="single"/>
        </w:rPr>
        <w:t xml:space="preserve">          </w:t>
      </w:r>
      <w:r>
        <w:rPr>
          <w:rFonts w:hint="eastAsia" w:ascii="宋体" w:hAnsi="宋体" w:cs="宋体"/>
          <w:color w:val="000000"/>
          <w:sz w:val="24"/>
        </w:rPr>
        <w:t>。</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5.工程承包范围：</w:t>
      </w:r>
      <w:r>
        <w:rPr>
          <w:rFonts w:hint="eastAsia" w:ascii="宋体" w:hAnsi="宋体" w:cs="宋体"/>
          <w:color w:val="000000"/>
          <w:sz w:val="24"/>
          <w:u w:val="single"/>
        </w:rPr>
        <w:t xml:space="preserve">        </w:t>
      </w:r>
      <w:r>
        <w:rPr>
          <w:rFonts w:hint="eastAsia" w:ascii="宋体" w:hAnsi="宋体" w:cs="宋体"/>
          <w:color w:val="000000"/>
          <w:sz w:val="24"/>
        </w:rPr>
        <w:t>。</w:t>
      </w:r>
    </w:p>
    <w:p>
      <w:pPr>
        <w:autoSpaceDE w:val="0"/>
        <w:autoSpaceDN w:val="0"/>
        <w:adjustRightInd w:val="0"/>
        <w:spacing w:line="560" w:lineRule="exact"/>
        <w:ind w:firstLine="482" w:firstLineChars="200"/>
        <w:rPr>
          <w:rFonts w:ascii="宋体" w:hAnsi="宋体" w:cs="宋体"/>
          <w:b/>
          <w:bCs/>
          <w:color w:val="000000"/>
          <w:sz w:val="24"/>
        </w:rPr>
      </w:pPr>
      <w:bookmarkStart w:id="677" w:name="_Toc489620072"/>
      <w:r>
        <w:rPr>
          <w:rFonts w:hint="eastAsia" w:ascii="宋体" w:hAnsi="宋体" w:cs="宋体"/>
          <w:b/>
          <w:bCs/>
          <w:color w:val="000000"/>
          <w:sz w:val="24"/>
        </w:rPr>
        <w:t>二、合同工期</w:t>
      </w:r>
      <w:bookmarkEnd w:id="677"/>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计划开工日期：</w:t>
      </w:r>
      <w:r>
        <w:rPr>
          <w:rFonts w:hint="eastAsia" w:ascii="宋体" w:hAnsi="宋体" w:cs="宋体"/>
          <w:color w:val="000000"/>
          <w:sz w:val="24"/>
          <w:u w:val="single"/>
        </w:rPr>
        <w:t> </w:t>
      </w:r>
      <w:r>
        <w:rPr>
          <w:rFonts w:hint="eastAsia" w:ascii="宋体" w:hAnsi="宋体" w:cs="宋体"/>
          <w:color w:val="000000"/>
          <w:sz w:val="24"/>
        </w:rPr>
        <w:t>年</w:t>
      </w:r>
      <w:r>
        <w:rPr>
          <w:rFonts w:hint="eastAsia" w:ascii="宋体" w:hAnsi="宋体" w:cs="宋体"/>
          <w:color w:val="000000"/>
          <w:sz w:val="24"/>
          <w:u w:val="single"/>
        </w:rPr>
        <w:t>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pPr>
        <w:spacing w:line="560" w:lineRule="exact"/>
        <w:ind w:firstLine="480" w:firstLineChars="200"/>
        <w:rPr>
          <w:rFonts w:ascii="宋体" w:hAnsi="宋体" w:cs="宋体"/>
          <w:color w:val="000000"/>
          <w:sz w:val="24"/>
        </w:rPr>
      </w:pPr>
      <w:r>
        <w:rPr>
          <w:rFonts w:hint="eastAsia" w:ascii="宋体" w:hAnsi="宋体" w:cs="宋体"/>
          <w:color w:val="000000"/>
          <w:sz w:val="24"/>
        </w:rPr>
        <w:t>计划竣工日期：</w:t>
      </w:r>
      <w:r>
        <w:rPr>
          <w:rFonts w:hint="eastAsia" w:ascii="宋体" w:hAnsi="宋体" w:cs="宋体"/>
          <w:color w:val="000000"/>
          <w:sz w:val="24"/>
          <w:u w:val="single"/>
        </w:rPr>
        <w:t>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工期总日历天数：</w:t>
      </w:r>
      <w:r>
        <w:rPr>
          <w:rFonts w:hint="eastAsia" w:ascii="宋体" w:hAnsi="宋体" w:cs="宋体"/>
          <w:color w:val="000000"/>
          <w:sz w:val="24"/>
          <w:u w:val="single"/>
        </w:rPr>
        <w:t>   日历天</w:t>
      </w:r>
      <w:r>
        <w:rPr>
          <w:rFonts w:hint="eastAsia" w:ascii="宋体" w:hAnsi="宋体" w:cs="宋体"/>
          <w:color w:val="000000"/>
          <w:sz w:val="24"/>
        </w:rPr>
        <w:t>。工期总日历天数与根据前述计划开竣工日期计算的工期天数不一致的，以工期总日历天数为准。</w:t>
      </w:r>
    </w:p>
    <w:p>
      <w:pPr>
        <w:autoSpaceDE w:val="0"/>
        <w:autoSpaceDN w:val="0"/>
        <w:adjustRightInd w:val="0"/>
        <w:spacing w:line="560" w:lineRule="exact"/>
        <w:ind w:firstLine="482" w:firstLineChars="200"/>
        <w:rPr>
          <w:rFonts w:ascii="宋体" w:hAnsi="宋体" w:cs="宋体"/>
          <w:b/>
          <w:bCs/>
          <w:color w:val="000000"/>
          <w:sz w:val="24"/>
        </w:rPr>
      </w:pPr>
      <w:bookmarkStart w:id="678" w:name="_Toc489620073"/>
      <w:r>
        <w:rPr>
          <w:rFonts w:hint="eastAsia" w:ascii="宋体" w:hAnsi="宋体" w:cs="宋体"/>
          <w:b/>
          <w:bCs/>
          <w:color w:val="000000"/>
          <w:sz w:val="24"/>
        </w:rPr>
        <w:t>三、质量标准</w:t>
      </w:r>
      <w:bookmarkEnd w:id="678"/>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工程质量符合合格标准。</w:t>
      </w:r>
    </w:p>
    <w:p>
      <w:pPr>
        <w:autoSpaceDE w:val="0"/>
        <w:autoSpaceDN w:val="0"/>
        <w:adjustRightInd w:val="0"/>
        <w:spacing w:line="560" w:lineRule="exact"/>
        <w:ind w:firstLine="482" w:firstLineChars="200"/>
        <w:rPr>
          <w:rFonts w:ascii="宋体" w:hAnsi="宋体" w:cs="宋体"/>
          <w:color w:val="000000"/>
          <w:sz w:val="24"/>
        </w:rPr>
      </w:pPr>
      <w:bookmarkStart w:id="679" w:name="_Toc489620074"/>
      <w:r>
        <w:rPr>
          <w:rFonts w:hint="eastAsia" w:ascii="宋体" w:hAnsi="宋体" w:cs="宋体"/>
          <w:b/>
          <w:bCs/>
          <w:color w:val="000000"/>
          <w:sz w:val="24"/>
        </w:rPr>
        <w:t>四、签约合同价与合同价格形式</w:t>
      </w:r>
      <w:bookmarkEnd w:id="679"/>
      <w:r>
        <w:rPr>
          <w:rFonts w:hint="eastAsia" w:ascii="宋体" w:hAnsi="宋体" w:cs="宋体"/>
          <w:color w:val="000000"/>
          <w:sz w:val="24"/>
        </w:rPr>
        <w:tab/>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1.签约合同价为：</w:t>
      </w:r>
      <w:r>
        <w:rPr>
          <w:rFonts w:hint="eastAsia" w:ascii="宋体" w:hAnsi="宋体" w:cs="宋体"/>
          <w:color w:val="000000"/>
          <w:sz w:val="24"/>
          <w:u w:val="single"/>
        </w:rPr>
        <w:t xml:space="preserve">                 </w:t>
      </w:r>
      <w:r>
        <w:rPr>
          <w:rFonts w:hint="eastAsia" w:ascii="宋体" w:hAnsi="宋体" w:cs="宋体"/>
          <w:color w:val="000000"/>
          <w:sz w:val="24"/>
        </w:rPr>
        <w:t>；（暂列金额：</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合同价格形式：固定综合单价。本项目为竞争性谈判项目，二次报价，中标综合单价为投标报价（第一次）基础上二次报价同比例下浮后的综合单价。下浮率=【1-（合同价-暂列金）/（投标报价（第一次）-暂列金）】*100%。</w:t>
      </w:r>
    </w:p>
    <w:p>
      <w:pPr>
        <w:spacing w:line="560" w:lineRule="exact"/>
        <w:ind w:firstLine="480" w:firstLineChars="200"/>
        <w:rPr>
          <w:rFonts w:ascii="宋体" w:hAnsi="宋体" w:cs="宋体"/>
          <w:color w:val="000000"/>
          <w:sz w:val="24"/>
        </w:rPr>
      </w:pPr>
      <w:r>
        <w:rPr>
          <w:rFonts w:hint="eastAsia" w:ascii="宋体" w:hAnsi="宋体" w:cs="宋体"/>
          <w:color w:val="000000"/>
          <w:sz w:val="24"/>
        </w:rPr>
        <w:t>2.合同价格形式：</w:t>
      </w:r>
      <w:r>
        <w:rPr>
          <w:rFonts w:hint="eastAsia" w:ascii="宋体" w:hAnsi="宋体" w:cs="宋体"/>
          <w:sz w:val="24"/>
          <w:u w:val="single"/>
        </w:rPr>
        <w:t>固定综合单价合同</w:t>
      </w:r>
      <w:r>
        <w:rPr>
          <w:rFonts w:hint="eastAsia" w:ascii="宋体" w:hAnsi="宋体" w:cs="宋体"/>
          <w:color w:val="000000"/>
          <w:sz w:val="24"/>
          <w:u w:val="single"/>
        </w:rPr>
        <w:t xml:space="preserve"> </w:t>
      </w:r>
      <w:r>
        <w:rPr>
          <w:rFonts w:hint="eastAsia" w:ascii="宋体" w:hAnsi="宋体" w:cs="宋体"/>
          <w:color w:val="000000"/>
          <w:sz w:val="24"/>
        </w:rPr>
        <w:t>。</w:t>
      </w:r>
    </w:p>
    <w:p>
      <w:pPr>
        <w:autoSpaceDE w:val="0"/>
        <w:autoSpaceDN w:val="0"/>
        <w:adjustRightInd w:val="0"/>
        <w:spacing w:line="560" w:lineRule="exact"/>
        <w:ind w:firstLine="482" w:firstLineChars="200"/>
        <w:rPr>
          <w:rFonts w:ascii="宋体" w:hAnsi="宋体" w:cs="宋体"/>
          <w:b/>
          <w:bCs/>
          <w:color w:val="000000"/>
          <w:sz w:val="24"/>
        </w:rPr>
      </w:pPr>
      <w:bookmarkStart w:id="680" w:name="_Toc489620075"/>
      <w:r>
        <w:rPr>
          <w:rFonts w:hint="eastAsia" w:ascii="宋体" w:hAnsi="宋体" w:cs="宋体"/>
          <w:b/>
          <w:bCs/>
          <w:color w:val="000000"/>
          <w:sz w:val="24"/>
        </w:rPr>
        <w:t>五、项目经理</w:t>
      </w:r>
      <w:bookmarkEnd w:id="680"/>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承包人项目经理：</w:t>
      </w:r>
      <w:r>
        <w:rPr>
          <w:rFonts w:hint="eastAsia" w:ascii="宋体" w:hAnsi="宋体" w:cs="宋体"/>
          <w:color w:val="000000"/>
          <w:sz w:val="24"/>
          <w:u w:val="single"/>
        </w:rPr>
        <w:t xml:space="preserve">                </w:t>
      </w:r>
      <w:r>
        <w:rPr>
          <w:rFonts w:hint="eastAsia" w:ascii="宋体" w:hAnsi="宋体" w:cs="宋体"/>
          <w:color w:val="000000"/>
          <w:sz w:val="24"/>
        </w:rPr>
        <w:t>。</w:t>
      </w:r>
    </w:p>
    <w:p>
      <w:pPr>
        <w:autoSpaceDE w:val="0"/>
        <w:autoSpaceDN w:val="0"/>
        <w:adjustRightInd w:val="0"/>
        <w:spacing w:line="560" w:lineRule="exact"/>
        <w:ind w:firstLine="482" w:firstLineChars="200"/>
        <w:rPr>
          <w:rFonts w:ascii="宋体" w:hAnsi="宋体" w:cs="宋体"/>
          <w:b/>
          <w:bCs/>
          <w:color w:val="000000"/>
          <w:sz w:val="24"/>
        </w:rPr>
      </w:pPr>
      <w:bookmarkStart w:id="681" w:name="_Toc489620076"/>
      <w:r>
        <w:rPr>
          <w:rFonts w:hint="eastAsia" w:ascii="宋体" w:hAnsi="宋体" w:cs="宋体"/>
          <w:b/>
          <w:bCs/>
          <w:color w:val="000000"/>
          <w:sz w:val="24"/>
        </w:rPr>
        <w:t>六、合同文件构成</w:t>
      </w:r>
      <w:bookmarkEnd w:id="681"/>
    </w:p>
    <w:p>
      <w:pPr>
        <w:autoSpaceDE w:val="0"/>
        <w:autoSpaceDN w:val="0"/>
        <w:adjustRightInd w:val="0"/>
        <w:spacing w:line="560" w:lineRule="exact"/>
        <w:ind w:firstLine="480" w:firstLineChars="200"/>
        <w:rPr>
          <w:rFonts w:ascii="宋体" w:hAnsi="宋体" w:cs="宋体"/>
          <w:bCs/>
          <w:color w:val="000000"/>
          <w:sz w:val="24"/>
        </w:rPr>
      </w:pPr>
      <w:r>
        <w:rPr>
          <w:rFonts w:hint="eastAsia" w:ascii="宋体" w:hAnsi="宋体" w:cs="宋体"/>
          <w:color w:val="000000"/>
          <w:sz w:val="24"/>
        </w:rPr>
        <w:t>本协议</w:t>
      </w:r>
      <w:r>
        <w:rPr>
          <w:rFonts w:hint="eastAsia" w:ascii="宋体" w:hAnsi="宋体" w:cs="宋体"/>
          <w:bCs/>
          <w:color w:val="000000"/>
          <w:sz w:val="24"/>
        </w:rPr>
        <w:t>书与下列文件一起构成合同文件：</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（1）成交通知书；</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 xml:space="preserve">（2）投标函及其附录； </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（3）专用合同条款及其附件；</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（4）通用合同条款；</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（5）图纸及工程量清单（另附）；</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（6）图纸；</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（7）已标价工程量清单或预算书；</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（8）其他合同文件。</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在合同订立及履行过程中形成的与合同有关的文件均构成合同文件组成部分。</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pPr>
        <w:spacing w:line="560" w:lineRule="exact"/>
        <w:ind w:firstLine="482" w:firstLineChars="200"/>
        <w:rPr>
          <w:rFonts w:ascii="宋体" w:hAnsi="宋体" w:cs="宋体"/>
          <w:b/>
          <w:color w:val="000000"/>
          <w:sz w:val="24"/>
        </w:rPr>
      </w:pPr>
      <w:bookmarkStart w:id="682" w:name="_Toc489620077"/>
      <w:r>
        <w:rPr>
          <w:rFonts w:hint="eastAsia" w:ascii="宋体" w:hAnsi="宋体" w:cs="宋体"/>
          <w:b/>
          <w:color w:val="000000"/>
          <w:sz w:val="24"/>
        </w:rPr>
        <w:t>七、承诺</w:t>
      </w:r>
      <w:bookmarkEnd w:id="682"/>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1.发包人承诺按照法律规定履行项目审批手续、筹集工程建设资金并按照合同约定的期限和方式支付合同价款。</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2.承包人承诺按照法律规定及合同约定组织完成工程施工，确保工程质量和安全，不进行转包及违法分包，并在缺陷责任期及保修期内承担相应的工程维修责任。</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3.发包人和承包人通过招投标形式签订合同的，双方理解并承诺不再就同一工程另行签订与合同实质性内容相背离的协议。</w:t>
      </w:r>
    </w:p>
    <w:p>
      <w:pPr>
        <w:spacing w:line="560" w:lineRule="exact"/>
        <w:ind w:firstLine="482" w:firstLineChars="200"/>
        <w:rPr>
          <w:rFonts w:ascii="宋体" w:hAnsi="宋体" w:cs="宋体"/>
          <w:bCs/>
          <w:color w:val="000000"/>
          <w:sz w:val="24"/>
        </w:rPr>
      </w:pPr>
      <w:r>
        <w:rPr>
          <w:rFonts w:hint="eastAsia" w:ascii="宋体" w:hAnsi="宋体" w:cs="宋体"/>
          <w:b/>
          <w:color w:val="000000"/>
          <w:sz w:val="24"/>
        </w:rPr>
        <w:t>八、词语含义</w:t>
      </w:r>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本协议书中词语含义与第二部分通用合同条款中赋予的含义相同。</w:t>
      </w:r>
    </w:p>
    <w:p>
      <w:pPr>
        <w:spacing w:line="560" w:lineRule="exact"/>
        <w:ind w:firstLine="482" w:firstLineChars="200"/>
        <w:rPr>
          <w:rFonts w:ascii="宋体" w:hAnsi="宋体" w:cs="宋体"/>
          <w:b/>
          <w:color w:val="000000"/>
          <w:sz w:val="24"/>
        </w:rPr>
      </w:pPr>
      <w:bookmarkStart w:id="683" w:name="_Toc489620078"/>
      <w:r>
        <w:rPr>
          <w:rFonts w:hint="eastAsia" w:ascii="宋体" w:hAnsi="宋体" w:cs="宋体"/>
          <w:b/>
          <w:color w:val="000000"/>
          <w:sz w:val="24"/>
        </w:rPr>
        <w:t>九、签订时间</w:t>
      </w:r>
      <w:bookmarkEnd w:id="683"/>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本合同于</w:t>
      </w:r>
      <w:r>
        <w:rPr>
          <w:rFonts w:hint="eastAsia" w:ascii="宋体" w:hAnsi="宋体" w:cs="宋体"/>
          <w:bCs/>
          <w:color w:val="000000"/>
          <w:sz w:val="24"/>
          <w:u w:val="single"/>
        </w:rPr>
        <w:t xml:space="preserve">      </w:t>
      </w:r>
      <w:r>
        <w:rPr>
          <w:rFonts w:hint="eastAsia" w:ascii="宋体" w:hAnsi="宋体" w:cs="宋体"/>
          <w:bCs/>
          <w:color w:val="000000"/>
          <w:sz w:val="24"/>
        </w:rPr>
        <w:t>年</w:t>
      </w:r>
      <w:r>
        <w:rPr>
          <w:rFonts w:hint="eastAsia" w:ascii="宋体" w:hAnsi="宋体" w:cs="宋体"/>
          <w:bCs/>
          <w:color w:val="000000"/>
          <w:sz w:val="24"/>
          <w:u w:val="single"/>
        </w:rPr>
        <w:t xml:space="preserve">      </w:t>
      </w:r>
      <w:r>
        <w:rPr>
          <w:rFonts w:hint="eastAsia" w:ascii="宋体" w:hAnsi="宋体" w:cs="宋体"/>
          <w:bCs/>
          <w:color w:val="000000"/>
          <w:sz w:val="24"/>
        </w:rPr>
        <w:t>月</w:t>
      </w:r>
      <w:r>
        <w:rPr>
          <w:rFonts w:hint="eastAsia" w:ascii="宋体" w:hAnsi="宋体" w:cs="宋体"/>
          <w:bCs/>
          <w:color w:val="000000"/>
          <w:sz w:val="24"/>
          <w:u w:val="single"/>
        </w:rPr>
        <w:t xml:space="preserve">      </w:t>
      </w:r>
      <w:r>
        <w:rPr>
          <w:rFonts w:hint="eastAsia" w:ascii="宋体" w:hAnsi="宋体" w:cs="宋体"/>
          <w:bCs/>
          <w:color w:val="000000"/>
          <w:sz w:val="24"/>
        </w:rPr>
        <w:t>日签订。</w:t>
      </w:r>
    </w:p>
    <w:p>
      <w:pPr>
        <w:spacing w:line="560" w:lineRule="exact"/>
        <w:ind w:firstLine="482" w:firstLineChars="200"/>
        <w:rPr>
          <w:rFonts w:ascii="宋体" w:hAnsi="宋体" w:cs="宋体"/>
          <w:b/>
          <w:color w:val="000000"/>
          <w:sz w:val="24"/>
        </w:rPr>
      </w:pPr>
      <w:bookmarkStart w:id="684" w:name="_Toc489620079"/>
      <w:r>
        <w:rPr>
          <w:rFonts w:hint="eastAsia" w:ascii="宋体" w:hAnsi="宋体" w:cs="宋体"/>
          <w:b/>
          <w:color w:val="000000"/>
          <w:sz w:val="24"/>
        </w:rPr>
        <w:t>十、签订地点</w:t>
      </w:r>
      <w:bookmarkEnd w:id="684"/>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 xml:space="preserve">本合同在 </w:t>
      </w:r>
      <w:r>
        <w:rPr>
          <w:rFonts w:hint="eastAsia" w:ascii="宋体" w:hAnsi="宋体" w:cs="宋体"/>
          <w:bCs/>
          <w:color w:val="000000"/>
          <w:sz w:val="24"/>
          <w:u w:val="single"/>
        </w:rPr>
        <w:t xml:space="preserve">             </w:t>
      </w:r>
      <w:r>
        <w:rPr>
          <w:rFonts w:hint="eastAsia" w:ascii="宋体" w:hAnsi="宋体" w:cs="宋体"/>
          <w:bCs/>
          <w:color w:val="000000"/>
          <w:sz w:val="24"/>
        </w:rPr>
        <w:t>签订。</w:t>
      </w:r>
    </w:p>
    <w:p>
      <w:pPr>
        <w:spacing w:line="560" w:lineRule="exact"/>
        <w:ind w:firstLine="482" w:firstLineChars="200"/>
        <w:rPr>
          <w:rFonts w:ascii="宋体" w:hAnsi="宋体" w:cs="宋体"/>
          <w:b/>
          <w:color w:val="000000"/>
          <w:sz w:val="24"/>
        </w:rPr>
      </w:pPr>
      <w:bookmarkStart w:id="685" w:name="_Toc489620080"/>
      <w:r>
        <w:rPr>
          <w:rFonts w:hint="eastAsia" w:ascii="宋体" w:hAnsi="宋体" w:cs="宋体"/>
          <w:b/>
          <w:color w:val="000000"/>
          <w:sz w:val="24"/>
        </w:rPr>
        <w:t>十一、补充协议</w:t>
      </w:r>
      <w:bookmarkEnd w:id="685"/>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合同未尽事宜，合同当事人另行签订补充协议，补充协议是合同的组成部分。</w:t>
      </w:r>
    </w:p>
    <w:p>
      <w:pPr>
        <w:spacing w:line="560" w:lineRule="exact"/>
        <w:ind w:firstLine="482" w:firstLineChars="200"/>
        <w:rPr>
          <w:rFonts w:ascii="宋体" w:hAnsi="宋体" w:cs="宋体"/>
          <w:b/>
          <w:color w:val="000000"/>
          <w:sz w:val="24"/>
        </w:rPr>
      </w:pPr>
      <w:bookmarkStart w:id="686" w:name="_Toc489620081"/>
      <w:r>
        <w:rPr>
          <w:rFonts w:hint="eastAsia" w:ascii="宋体" w:hAnsi="宋体" w:cs="宋体"/>
          <w:b/>
          <w:color w:val="000000"/>
          <w:sz w:val="24"/>
        </w:rPr>
        <w:t>十二、合同生效</w:t>
      </w:r>
      <w:bookmarkEnd w:id="686"/>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本合同自</w:t>
      </w:r>
      <w:r>
        <w:rPr>
          <w:rFonts w:hint="eastAsia" w:ascii="宋体" w:hAnsi="宋体" w:cs="宋体"/>
          <w:bCs/>
          <w:color w:val="000000"/>
          <w:sz w:val="24"/>
          <w:u w:val="single"/>
        </w:rPr>
        <w:t>双方签字盖章后立即</w:t>
      </w:r>
      <w:r>
        <w:rPr>
          <w:rFonts w:hint="eastAsia" w:ascii="宋体" w:hAnsi="宋体" w:cs="宋体"/>
          <w:bCs/>
          <w:color w:val="000000"/>
          <w:sz w:val="24"/>
        </w:rPr>
        <w:t>生效。</w:t>
      </w:r>
    </w:p>
    <w:p>
      <w:pPr>
        <w:spacing w:line="560" w:lineRule="exact"/>
        <w:ind w:firstLine="482" w:firstLineChars="200"/>
        <w:rPr>
          <w:rFonts w:ascii="宋体" w:hAnsi="宋体" w:cs="宋体"/>
          <w:b/>
          <w:color w:val="000000"/>
          <w:sz w:val="24"/>
        </w:rPr>
      </w:pPr>
      <w:bookmarkStart w:id="687" w:name="_Toc489620082"/>
      <w:r>
        <w:rPr>
          <w:rFonts w:hint="eastAsia" w:ascii="宋体" w:hAnsi="宋体" w:cs="宋体"/>
          <w:b/>
          <w:color w:val="000000"/>
          <w:sz w:val="24"/>
        </w:rPr>
        <w:t>十三、合同份数</w:t>
      </w:r>
      <w:bookmarkEnd w:id="687"/>
    </w:p>
    <w:p>
      <w:pPr>
        <w:spacing w:line="560" w:lineRule="exact"/>
        <w:ind w:firstLine="480" w:firstLineChars="200"/>
        <w:rPr>
          <w:rFonts w:ascii="宋体" w:hAnsi="宋体" w:cs="宋体"/>
          <w:bCs/>
          <w:color w:val="000000"/>
          <w:sz w:val="24"/>
        </w:rPr>
      </w:pPr>
      <w:r>
        <w:rPr>
          <w:rFonts w:hint="eastAsia" w:ascii="宋体" w:hAnsi="宋体" w:cs="宋体"/>
          <w:bCs/>
          <w:color w:val="000000"/>
          <w:sz w:val="24"/>
        </w:rPr>
        <w:t>本合同一式</w:t>
      </w:r>
      <w:r>
        <w:rPr>
          <w:rFonts w:hint="eastAsia" w:ascii="宋体" w:hAnsi="宋体" w:cs="宋体"/>
          <w:bCs/>
          <w:color w:val="000000"/>
          <w:sz w:val="24"/>
          <w:u w:val="single"/>
        </w:rPr>
        <w:t xml:space="preserve"> 陆 </w:t>
      </w:r>
      <w:r>
        <w:rPr>
          <w:rFonts w:hint="eastAsia" w:ascii="宋体" w:hAnsi="宋体" w:cs="宋体"/>
          <w:bCs/>
          <w:color w:val="000000"/>
          <w:sz w:val="24"/>
        </w:rPr>
        <w:t>份，均具有同等法律效力，发包人执</w:t>
      </w:r>
      <w:r>
        <w:rPr>
          <w:rFonts w:hint="eastAsia" w:ascii="宋体" w:hAnsi="宋体" w:cs="宋体"/>
          <w:bCs/>
          <w:color w:val="000000"/>
          <w:sz w:val="24"/>
          <w:u w:val="single"/>
        </w:rPr>
        <w:t xml:space="preserve"> 贰 </w:t>
      </w:r>
      <w:r>
        <w:rPr>
          <w:rFonts w:hint="eastAsia" w:ascii="宋体" w:hAnsi="宋体" w:cs="宋体"/>
          <w:bCs/>
          <w:color w:val="000000"/>
          <w:sz w:val="24"/>
        </w:rPr>
        <w:t>份，承包人执</w:t>
      </w:r>
      <w:r>
        <w:rPr>
          <w:rFonts w:hint="eastAsia" w:ascii="宋体" w:hAnsi="宋体" w:cs="宋体"/>
          <w:bCs/>
          <w:color w:val="000000"/>
          <w:sz w:val="24"/>
          <w:u w:val="single"/>
        </w:rPr>
        <w:t xml:space="preserve"> 贰 </w:t>
      </w:r>
      <w:r>
        <w:rPr>
          <w:rFonts w:hint="eastAsia" w:ascii="宋体" w:hAnsi="宋体" w:cs="宋体"/>
          <w:bCs/>
          <w:color w:val="000000"/>
          <w:sz w:val="24"/>
        </w:rPr>
        <w:t>份，代理公司执</w:t>
      </w:r>
      <w:r>
        <w:rPr>
          <w:rFonts w:hint="eastAsia" w:ascii="宋体" w:hAnsi="宋体" w:cs="宋体"/>
          <w:bCs/>
          <w:color w:val="000000"/>
          <w:sz w:val="24"/>
          <w:u w:val="single"/>
        </w:rPr>
        <w:t xml:space="preserve"> 贰 </w:t>
      </w:r>
      <w:r>
        <w:rPr>
          <w:rFonts w:hint="eastAsia" w:ascii="宋体" w:hAnsi="宋体" w:cs="宋体"/>
          <w:bCs/>
          <w:color w:val="000000"/>
          <w:sz w:val="24"/>
        </w:rPr>
        <w:t>份。</w:t>
      </w:r>
    </w:p>
    <w:p>
      <w:pPr>
        <w:spacing w:line="560" w:lineRule="exact"/>
        <w:rPr>
          <w:rFonts w:ascii="宋体" w:hAnsi="宋体" w:cs="宋体"/>
          <w:color w:val="000000"/>
          <w:sz w:val="24"/>
        </w:rPr>
      </w:pP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 xml:space="preserve">发包人：  (公章)                           承包人：  (公章)                                 </w:t>
      </w:r>
    </w:p>
    <w:p>
      <w:pPr>
        <w:spacing w:line="560" w:lineRule="exact"/>
        <w:ind w:firstLine="480" w:firstLineChars="200"/>
        <w:rPr>
          <w:rFonts w:ascii="宋体" w:hAnsi="宋体" w:cs="宋体"/>
          <w:color w:val="000000"/>
          <w:sz w:val="24"/>
        </w:rPr>
      </w:pPr>
      <w:r>
        <w:rPr>
          <w:rFonts w:hint="eastAsia" w:ascii="宋体" w:hAnsi="宋体" w:cs="宋体"/>
          <w:color w:val="000000"/>
          <w:sz w:val="24"/>
        </w:rPr>
        <w:t>法定代表人或其委托代理人：                 法定代表人或其委托代理人：</w:t>
      </w: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 xml:space="preserve">（签字或盖章）                             （签字或盖章）   </w:t>
      </w:r>
    </w:p>
    <w:p>
      <w:pPr>
        <w:tabs>
          <w:tab w:val="left" w:pos="4410"/>
        </w:tabs>
        <w:spacing w:line="560" w:lineRule="exact"/>
        <w:ind w:firstLine="480" w:firstLineChars="200"/>
        <w:rPr>
          <w:rFonts w:ascii="宋体" w:hAnsi="宋体" w:cs="宋体"/>
          <w:color w:val="000000"/>
          <w:sz w:val="24"/>
        </w:rPr>
      </w:pPr>
      <w:r>
        <w:rPr>
          <w:rFonts w:hint="eastAsia" w:ascii="宋体" w:hAnsi="宋体" w:cs="宋体"/>
          <w:color w:val="000000"/>
          <w:sz w:val="24"/>
        </w:rPr>
        <w:t>组织机构代码：</w:t>
      </w:r>
      <w:r>
        <w:rPr>
          <w:rFonts w:hint="eastAsia" w:ascii="宋体" w:hAnsi="宋体" w:cs="宋体"/>
          <w:color w:val="000000"/>
          <w:sz w:val="24"/>
          <w:u w:val="single"/>
        </w:rPr>
        <w:t xml:space="preserve">       </w:t>
      </w:r>
      <w:r>
        <w:rPr>
          <w:rFonts w:hint="eastAsia" w:ascii="宋体" w:hAnsi="宋体" w:cs="宋体"/>
          <w:color w:val="000000"/>
          <w:sz w:val="24"/>
        </w:rPr>
        <w:t xml:space="preserve">                组织机构代码：</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  </w:t>
      </w:r>
    </w:p>
    <w:p>
      <w:pPr>
        <w:spacing w:line="560" w:lineRule="exact"/>
        <w:ind w:firstLine="480" w:firstLineChars="200"/>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    </w:t>
      </w:r>
      <w:r>
        <w:rPr>
          <w:rFonts w:hint="eastAsia" w:ascii="宋体" w:hAnsi="宋体" w:cs="宋体"/>
          <w:color w:val="000000"/>
          <w:sz w:val="24"/>
        </w:rPr>
        <w:t xml:space="preserve">               邮政编码：</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u w:val="single"/>
        </w:rPr>
        <w:t xml:space="preserve">           </w:t>
      </w:r>
      <w:r>
        <w:rPr>
          <w:rFonts w:hint="eastAsia" w:ascii="宋体" w:hAnsi="宋体" w:cs="宋体"/>
          <w:color w:val="000000"/>
          <w:sz w:val="24"/>
        </w:rPr>
        <w:t xml:space="preserve">                法定代表人：</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委托代理人：</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电子信箱：</w:t>
      </w:r>
      <w:r>
        <w:rPr>
          <w:rFonts w:hint="eastAsia" w:ascii="宋体" w:hAnsi="宋体" w:cs="宋体"/>
          <w:color w:val="000000"/>
          <w:sz w:val="24"/>
          <w:u w:val="single"/>
        </w:rPr>
        <w:t>    </w:t>
      </w:r>
      <w:r>
        <w:rPr>
          <w:rFonts w:hint="eastAsia" w:ascii="宋体" w:hAnsi="宋体" w:cs="宋体"/>
          <w:color w:val="000000"/>
          <w:sz w:val="24"/>
        </w:rPr>
        <w:t xml:space="preserve">             电子信箱：</w:t>
      </w:r>
      <w:r>
        <w:rPr>
          <w:rFonts w:hint="eastAsia" w:ascii="宋体" w:hAnsi="宋体" w:cs="宋体"/>
          <w:color w:val="000000"/>
          <w:sz w:val="24"/>
          <w:u w:val="single"/>
        </w:rPr>
        <w:t>    </w:t>
      </w:r>
    </w:p>
    <w:p>
      <w:pPr>
        <w:spacing w:line="560" w:lineRule="exact"/>
        <w:ind w:firstLine="480" w:firstLineChars="200"/>
        <w:rPr>
          <w:rFonts w:ascii="宋体" w:hAnsi="宋体" w:cs="宋体"/>
          <w:color w:val="000000"/>
          <w:sz w:val="24"/>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 </w:t>
      </w:r>
    </w:p>
    <w:p>
      <w:pPr>
        <w:spacing w:line="560" w:lineRule="exact"/>
        <w:ind w:firstLine="480" w:firstLineChars="200"/>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w:t>
      </w:r>
    </w:p>
    <w:p>
      <w:pPr>
        <w:pStyle w:val="2"/>
        <w:spacing w:line="560" w:lineRule="exact"/>
        <w:ind w:firstLine="482" w:firstLineChars="200"/>
        <w:jc w:val="center"/>
        <w:rPr>
          <w:rFonts w:hAnsi="宋体" w:cs="宋体"/>
          <w:szCs w:val="24"/>
        </w:rPr>
      </w:pPr>
      <w:bookmarkStart w:id="688" w:name="_Toc489620083"/>
      <w:bookmarkStart w:id="689" w:name="_Toc495503371"/>
      <w:bookmarkStart w:id="690" w:name="_Toc337558727"/>
      <w:r>
        <w:rPr>
          <w:rFonts w:hint="eastAsia" w:hAnsi="宋体" w:cs="宋体"/>
          <w:szCs w:val="24"/>
        </w:rPr>
        <w:t>第二部分 通用合同条款</w:t>
      </w:r>
      <w:bookmarkEnd w:id="688"/>
      <w:bookmarkEnd w:id="689"/>
    </w:p>
    <w:p>
      <w:pPr>
        <w:spacing w:line="560" w:lineRule="exact"/>
        <w:ind w:firstLine="480" w:firstLineChars="200"/>
        <w:rPr>
          <w:rFonts w:ascii="宋体" w:hAnsi="宋体" w:cs="宋体"/>
          <w:color w:val="000000"/>
          <w:sz w:val="24"/>
        </w:rPr>
      </w:pPr>
      <w:r>
        <w:rPr>
          <w:rFonts w:hint="eastAsia" w:ascii="宋体" w:hAnsi="宋体" w:cs="宋体"/>
          <w:color w:val="000000"/>
          <w:sz w:val="24"/>
        </w:rPr>
        <w:t>略，此部分采用《建设工程施工合同》范本（GF-2017-0201）中《第二部分 通用条款》</w:t>
      </w:r>
    </w:p>
    <w:bookmarkEnd w:id="690"/>
    <w:p>
      <w:pPr>
        <w:pStyle w:val="2"/>
        <w:spacing w:line="560" w:lineRule="exact"/>
        <w:ind w:firstLine="482" w:firstLineChars="200"/>
        <w:jc w:val="center"/>
        <w:rPr>
          <w:rFonts w:hAnsi="宋体" w:cs="宋体"/>
          <w:szCs w:val="24"/>
        </w:rPr>
      </w:pPr>
      <w:bookmarkStart w:id="691" w:name="_Toc495503372"/>
      <w:bookmarkStart w:id="692" w:name="_Toc489620084"/>
      <w:r>
        <w:rPr>
          <w:rFonts w:hint="eastAsia" w:hAnsi="宋体" w:cs="宋体"/>
          <w:szCs w:val="24"/>
        </w:rPr>
        <w:t>第三部分 专用合同条款</w:t>
      </w:r>
      <w:bookmarkEnd w:id="691"/>
      <w:bookmarkEnd w:id="692"/>
    </w:p>
    <w:p>
      <w:pPr>
        <w:spacing w:line="560" w:lineRule="exact"/>
        <w:ind w:firstLine="480" w:firstLineChars="200"/>
        <w:rPr>
          <w:rFonts w:ascii="宋体" w:hAnsi="宋体" w:cs="宋体"/>
          <w:color w:val="000000"/>
          <w:sz w:val="24"/>
        </w:rPr>
      </w:pPr>
      <w:bookmarkStart w:id="693" w:name="_Toc489620085"/>
      <w:r>
        <w:rPr>
          <w:rFonts w:hint="eastAsia" w:ascii="宋体" w:hAnsi="宋体" w:cs="宋体"/>
          <w:color w:val="000000"/>
          <w:sz w:val="24"/>
        </w:rPr>
        <w:t>1</w:t>
      </w:r>
      <w:bookmarkStart w:id="694" w:name="_Toc296503156"/>
      <w:bookmarkStart w:id="695" w:name="_Toc296891196"/>
      <w:bookmarkStart w:id="696" w:name="_Toc297048342"/>
      <w:bookmarkStart w:id="697" w:name="_Toc292559361"/>
      <w:bookmarkStart w:id="698" w:name="_Toc296944495"/>
      <w:bookmarkStart w:id="699" w:name="_Toc297120456"/>
      <w:bookmarkStart w:id="700" w:name="_Toc296347155"/>
      <w:bookmarkStart w:id="701" w:name="_Toc296890984"/>
      <w:bookmarkStart w:id="702" w:name="_Toc292559866"/>
      <w:bookmarkStart w:id="703" w:name="_Toc296346657"/>
      <w:r>
        <w:rPr>
          <w:rFonts w:hint="eastAsia" w:ascii="宋体" w:hAnsi="宋体" w:cs="宋体"/>
          <w:color w:val="000000"/>
          <w:sz w:val="24"/>
        </w:rPr>
        <w:t>. 一般约定</w:t>
      </w:r>
      <w:bookmarkEnd w:id="693"/>
    </w:p>
    <w:bookmarkEnd w:id="694"/>
    <w:bookmarkEnd w:id="695"/>
    <w:bookmarkEnd w:id="696"/>
    <w:bookmarkEnd w:id="697"/>
    <w:bookmarkEnd w:id="698"/>
    <w:bookmarkEnd w:id="699"/>
    <w:bookmarkEnd w:id="700"/>
    <w:bookmarkEnd w:id="701"/>
    <w:bookmarkEnd w:id="702"/>
    <w:bookmarkEnd w:id="703"/>
    <w:p>
      <w:pPr>
        <w:spacing w:line="560" w:lineRule="exact"/>
        <w:ind w:firstLine="480" w:firstLineChars="200"/>
        <w:rPr>
          <w:rFonts w:ascii="宋体" w:hAnsi="宋体" w:cs="宋体"/>
          <w:color w:val="000000"/>
          <w:sz w:val="24"/>
        </w:rPr>
      </w:pPr>
      <w:r>
        <w:rPr>
          <w:rFonts w:hint="eastAsia" w:ascii="宋体" w:hAnsi="宋体" w:cs="宋体"/>
          <w:color w:val="000000"/>
          <w:sz w:val="24"/>
        </w:rPr>
        <w:t>1.1 词语定义</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1.1.1合同</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1.1.1.10其他合同文件包括：</w:t>
      </w:r>
      <w:r>
        <w:rPr>
          <w:rFonts w:hint="eastAsia" w:ascii="宋体" w:hAnsi="宋体" w:cs="宋体"/>
          <w:color w:val="000000"/>
          <w:sz w:val="24"/>
          <w:u w:val="single"/>
        </w:rPr>
        <w:t>合同协议书、成交通知书、投标书及其附件、合同专用条款、合同通用条款、标准规范及有关技术文件、施工图纸和工程量清单、有关本工程的图纸会审记录、工程变更及工程例会记录等。</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1.1.2 合同当事人及其他相关方</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1.1.2.4监理人：</w:t>
      </w:r>
    </w:p>
    <w:p>
      <w:pPr>
        <w:spacing w:line="560" w:lineRule="exact"/>
        <w:ind w:firstLine="480" w:firstLineChars="200"/>
        <w:rPr>
          <w:rFonts w:ascii="宋体" w:hAnsi="宋体" w:cs="宋体"/>
          <w:color w:val="000000"/>
          <w:sz w:val="24"/>
        </w:rPr>
      </w:pPr>
      <w:r>
        <w:rPr>
          <w:rFonts w:hint="eastAsia" w:ascii="宋体" w:hAnsi="宋体" w:cs="宋体"/>
          <w:color w:val="000000"/>
          <w:sz w:val="24"/>
        </w:rPr>
        <w:t>名    称：</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1.1.2.5 设计人：</w:t>
      </w:r>
    </w:p>
    <w:p>
      <w:pPr>
        <w:spacing w:line="560" w:lineRule="exact"/>
        <w:ind w:firstLine="480" w:firstLineChars="200"/>
        <w:rPr>
          <w:rFonts w:ascii="宋体" w:hAnsi="宋体" w:cs="宋体"/>
          <w:color w:val="000000"/>
          <w:sz w:val="24"/>
        </w:rPr>
      </w:pPr>
      <w:r>
        <w:rPr>
          <w:rFonts w:hint="eastAsia" w:ascii="宋体" w:hAnsi="宋体" w:cs="宋体"/>
          <w:color w:val="000000"/>
          <w:sz w:val="24"/>
        </w:rPr>
        <w:t>名    称：</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1.1.3 工程和设备</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1.1.3.7 作为施工现场组成部分的其他场所包括：现场临时办公及施工场地 。</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1.1.3.9 永久占地包括：按照设计图纸确定 。</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1.1.3.10 临时占地包括：</w:t>
      </w:r>
      <w:r>
        <w:rPr>
          <w:rFonts w:hint="eastAsia" w:ascii="宋体" w:hAnsi="宋体" w:cs="宋体"/>
          <w:color w:val="000000"/>
          <w:sz w:val="24"/>
          <w:u w:val="single"/>
        </w:rPr>
        <w:t>按通用条款</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 xml:space="preserve">1.3法律 </w:t>
      </w:r>
    </w:p>
    <w:p>
      <w:pPr>
        <w:spacing w:line="560" w:lineRule="exact"/>
        <w:ind w:firstLine="480" w:firstLineChars="200"/>
        <w:rPr>
          <w:rFonts w:ascii="宋体" w:hAnsi="宋体" w:cs="宋体"/>
          <w:color w:val="000000"/>
          <w:sz w:val="24"/>
        </w:rPr>
      </w:pPr>
      <w:r>
        <w:rPr>
          <w:rFonts w:hint="eastAsia" w:ascii="宋体" w:hAnsi="宋体" w:cs="宋体"/>
          <w:color w:val="000000"/>
          <w:sz w:val="24"/>
        </w:rPr>
        <w:t>适用于合同的其他规范性文件：《中华人民共和国民法典》、《中华人民共和国建筑法》、《中华人民共和国招标投标法》、《中华人民共和国招标投标法实施条例》、《中华人民共和国担保法》、《中华人民共和国政府采购法》、《建设工程质量管理条例》、《建设工程安全生产管理条例》、坛政规《2017》2号文及其他相关国家和地方法律、法规、规章。</w:t>
      </w:r>
    </w:p>
    <w:p>
      <w:pPr>
        <w:spacing w:line="560" w:lineRule="exact"/>
        <w:ind w:firstLine="480" w:firstLineChars="200"/>
        <w:rPr>
          <w:rFonts w:ascii="宋体" w:hAnsi="宋体" w:cs="宋体"/>
          <w:color w:val="000000"/>
          <w:sz w:val="24"/>
        </w:rPr>
      </w:pPr>
      <w:r>
        <w:rPr>
          <w:rFonts w:hint="eastAsia" w:ascii="宋体" w:hAnsi="宋体" w:cs="宋体"/>
          <w:color w:val="000000"/>
          <w:sz w:val="24"/>
        </w:rPr>
        <w:t>1.4 标准和规范</w:t>
      </w:r>
    </w:p>
    <w:p>
      <w:pPr>
        <w:spacing w:line="560" w:lineRule="exact"/>
        <w:ind w:firstLine="480" w:firstLineChars="200"/>
        <w:rPr>
          <w:rFonts w:ascii="宋体" w:hAnsi="宋体" w:cs="宋体"/>
          <w:color w:val="000000"/>
          <w:sz w:val="24"/>
        </w:rPr>
      </w:pPr>
      <w:r>
        <w:rPr>
          <w:rFonts w:hint="eastAsia" w:ascii="宋体" w:hAnsi="宋体" w:cs="宋体"/>
          <w:color w:val="000000"/>
          <w:sz w:val="24"/>
        </w:rPr>
        <w:t>1.4.1适用于工程的标准规范包括：</w:t>
      </w:r>
      <w:r>
        <w:rPr>
          <w:rFonts w:hint="eastAsia" w:ascii="宋体" w:hAnsi="宋体" w:cs="宋体"/>
          <w:color w:val="000000"/>
          <w:sz w:val="24"/>
          <w:u w:val="single"/>
        </w:rPr>
        <w:t>有关建设工程的标准和规范、规程，建筑质量验收评定标准，施工图纸以及设计文件所载明的标准、规范、规程等。</w:t>
      </w:r>
    </w:p>
    <w:p>
      <w:pPr>
        <w:spacing w:line="560" w:lineRule="exact"/>
        <w:ind w:firstLine="480" w:firstLineChars="200"/>
        <w:rPr>
          <w:rFonts w:ascii="宋体" w:hAnsi="宋体" w:cs="宋体"/>
          <w:color w:val="000000"/>
          <w:sz w:val="24"/>
        </w:rPr>
      </w:pPr>
      <w:r>
        <w:rPr>
          <w:rFonts w:hint="eastAsia" w:ascii="宋体" w:hAnsi="宋体" w:cs="宋体"/>
          <w:color w:val="000000"/>
          <w:sz w:val="24"/>
        </w:rPr>
        <w:t>1.4.2 发包人提供国外标准、规范的名称：</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发包人提供国外标准、规范的份数：</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发包人提供国外标准、规范的名称：</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1.4.3发包人对工程的技术标准和功能要求的特殊要求：</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1.5 合同文件的优先顺序</w:t>
      </w:r>
    </w:p>
    <w:p>
      <w:pPr>
        <w:spacing w:line="560" w:lineRule="exact"/>
        <w:ind w:firstLine="480" w:firstLineChars="200"/>
        <w:rPr>
          <w:rFonts w:ascii="宋体" w:hAnsi="宋体" w:cs="宋体"/>
          <w:color w:val="000000"/>
          <w:sz w:val="24"/>
        </w:rPr>
      </w:pPr>
      <w:r>
        <w:rPr>
          <w:rFonts w:hint="eastAsia" w:ascii="宋体" w:hAnsi="宋体" w:cs="宋体"/>
          <w:color w:val="000000"/>
          <w:sz w:val="24"/>
        </w:rPr>
        <w:t>合同文件组成及优先顺序为：</w:t>
      </w:r>
      <w:r>
        <w:rPr>
          <w:rFonts w:hint="eastAsia" w:ascii="宋体" w:hAnsi="宋体" w:cs="宋体"/>
          <w:color w:val="000000"/>
          <w:sz w:val="24"/>
          <w:u w:val="single"/>
        </w:rPr>
        <w:t xml:space="preserve">（1）合同协议书；（2）成交通知书；（3）投标函及其附录；（4）专用合同条款；（5）通用合同条款；（6）图纸及工程量清单（另附）；（7）图纸；（8）已标价工程量清单；（9）其他合同文件。  </w:t>
      </w:r>
    </w:p>
    <w:p>
      <w:pPr>
        <w:spacing w:line="560" w:lineRule="exact"/>
        <w:ind w:firstLine="480" w:firstLineChars="200"/>
        <w:rPr>
          <w:rFonts w:ascii="宋体" w:hAnsi="宋体" w:cs="宋体"/>
          <w:color w:val="000000"/>
          <w:sz w:val="24"/>
        </w:rPr>
      </w:pPr>
      <w:r>
        <w:rPr>
          <w:rFonts w:hint="eastAsia" w:ascii="宋体" w:hAnsi="宋体" w:cs="宋体"/>
          <w:color w:val="000000"/>
          <w:sz w:val="24"/>
        </w:rPr>
        <w:t>1.6 图纸和承包人文件</w:t>
      </w:r>
      <w:r>
        <w:rPr>
          <w:rFonts w:hint="eastAsia" w:ascii="宋体" w:hAnsi="宋体" w:cs="宋体"/>
          <w:color w:val="000000"/>
          <w:sz w:val="24"/>
        </w:rPr>
        <w:tab/>
      </w:r>
    </w:p>
    <w:p>
      <w:pPr>
        <w:spacing w:line="560" w:lineRule="exact"/>
        <w:ind w:firstLine="480" w:firstLineChars="200"/>
        <w:rPr>
          <w:rFonts w:ascii="宋体" w:hAnsi="宋体" w:cs="宋体"/>
          <w:color w:val="000000"/>
          <w:sz w:val="24"/>
        </w:rPr>
      </w:pPr>
      <w:r>
        <w:rPr>
          <w:rFonts w:hint="eastAsia" w:ascii="宋体" w:hAnsi="宋体" w:cs="宋体"/>
          <w:color w:val="000000"/>
          <w:sz w:val="24"/>
        </w:rPr>
        <w:t>1.6.1 图纸的提供</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发包人向承包人提供图纸的期限：</w:t>
      </w:r>
      <w:r>
        <w:rPr>
          <w:rFonts w:hint="eastAsia" w:ascii="宋体" w:hAnsi="宋体" w:cs="宋体"/>
          <w:color w:val="000000"/>
          <w:sz w:val="24"/>
          <w:u w:val="single"/>
        </w:rPr>
        <w:t>开工前7天</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发包人向承包人提供图纸的数量：</w:t>
      </w:r>
      <w:r>
        <w:rPr>
          <w:rFonts w:hint="eastAsia" w:ascii="宋体" w:hAnsi="宋体" w:cs="宋体"/>
          <w:color w:val="000000"/>
          <w:sz w:val="24"/>
          <w:u w:val="single"/>
        </w:rPr>
        <w:t>贰套，承包人可自费复印更多份数</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发包人向承包人提供图纸的内容：</w:t>
      </w:r>
      <w:r>
        <w:rPr>
          <w:rFonts w:hint="eastAsia" w:ascii="宋体" w:hAnsi="宋体" w:cs="宋体"/>
          <w:color w:val="000000"/>
          <w:sz w:val="24"/>
          <w:u w:val="single"/>
        </w:rPr>
        <w:t>提供全部施工图纸（如有）</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1.6.4 承包人文件：</w:t>
      </w:r>
    </w:p>
    <w:p>
      <w:pPr>
        <w:spacing w:line="560" w:lineRule="exact"/>
        <w:ind w:firstLine="480" w:firstLineChars="200"/>
        <w:rPr>
          <w:rFonts w:ascii="宋体" w:hAnsi="宋体" w:cs="宋体"/>
          <w:color w:val="000000"/>
          <w:sz w:val="24"/>
        </w:rPr>
      </w:pPr>
      <w:r>
        <w:rPr>
          <w:rFonts w:hint="eastAsia" w:ascii="宋体" w:hAnsi="宋体" w:cs="宋体"/>
          <w:color w:val="000000"/>
          <w:sz w:val="24"/>
        </w:rPr>
        <w:t>需要由承包人提供的文件，包括：</w:t>
      </w:r>
      <w:r>
        <w:rPr>
          <w:rFonts w:hint="eastAsia" w:ascii="宋体" w:hAnsi="宋体" w:cs="宋体"/>
          <w:color w:val="000000"/>
          <w:sz w:val="24"/>
          <w:u w:val="single"/>
        </w:rPr>
        <w:t>包含但不限于发包人和监理人要求的各类报表、验收资料及竣工资料等</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承包人提供的文件的期限为：</w:t>
      </w:r>
      <w:r>
        <w:rPr>
          <w:rFonts w:hint="eastAsia" w:ascii="宋体" w:hAnsi="宋体" w:cs="宋体"/>
          <w:color w:val="000000"/>
          <w:sz w:val="24"/>
          <w:u w:val="single"/>
        </w:rPr>
        <w:t>发包人要求的时间内</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承包人提供的文件的数量为：</w:t>
      </w:r>
      <w:r>
        <w:rPr>
          <w:rFonts w:hint="eastAsia" w:ascii="宋体" w:hAnsi="宋体" w:cs="宋体"/>
          <w:color w:val="000000"/>
          <w:sz w:val="24"/>
          <w:u w:val="single"/>
        </w:rPr>
        <w:t>一式肆份（含竣工图）</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承包人提供的文件的形式为：</w:t>
      </w:r>
      <w:r>
        <w:rPr>
          <w:rFonts w:hint="eastAsia" w:ascii="宋体" w:hAnsi="宋体" w:cs="宋体"/>
          <w:color w:val="000000"/>
          <w:sz w:val="24"/>
          <w:u w:val="single"/>
        </w:rPr>
        <w:t>纸质和电子文件</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发包人审批承包人文件的期限：</w:t>
      </w:r>
      <w:r>
        <w:rPr>
          <w:rFonts w:hint="eastAsia" w:ascii="宋体" w:hAnsi="宋体" w:cs="宋体"/>
          <w:color w:val="000000"/>
          <w:sz w:val="24"/>
          <w:u w:val="single"/>
        </w:rPr>
        <w:t>承包人提供相应文件后7天内</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1.6.5 现场图纸准备</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关于现场图纸准备的约定：</w:t>
      </w:r>
      <w:bookmarkStart w:id="704" w:name="EBbaaf638e2732405bafca1782d48843c5"/>
      <w:r>
        <w:rPr>
          <w:rFonts w:hint="eastAsia" w:ascii="宋体" w:hAnsi="宋体" w:cs="宋体"/>
          <w:sz w:val="24"/>
          <w:u w:val="single"/>
        </w:rPr>
        <w:t>发包人对图纸资料的保密要求：除严格用于合同目的外，图纸、规范和其他文件未经发包人许可，承包人不得用于或泄漏给第三方。如果对公开有关信息的必要性产生争执，则以发包人的决定为准</w:t>
      </w:r>
      <w:bookmarkEnd w:id="704"/>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1.7 联络</w:t>
      </w:r>
    </w:p>
    <w:p>
      <w:pPr>
        <w:spacing w:line="560" w:lineRule="exact"/>
        <w:ind w:firstLine="480" w:firstLineChars="200"/>
        <w:rPr>
          <w:rFonts w:ascii="宋体" w:hAnsi="宋体" w:cs="宋体"/>
          <w:color w:val="000000"/>
          <w:sz w:val="24"/>
        </w:rPr>
      </w:pPr>
      <w:r>
        <w:rPr>
          <w:rFonts w:hint="eastAsia" w:ascii="宋体" w:hAnsi="宋体" w:cs="宋体"/>
          <w:color w:val="000000"/>
          <w:sz w:val="24"/>
        </w:rPr>
        <w:t>1.7.1发包人和承包人应当在</w:t>
      </w:r>
      <w:r>
        <w:rPr>
          <w:rFonts w:hint="eastAsia" w:ascii="宋体" w:hAnsi="宋体" w:cs="宋体"/>
          <w:color w:val="000000"/>
          <w:sz w:val="24"/>
          <w:u w:val="single"/>
        </w:rPr>
        <w:t xml:space="preserve"> 7   </w:t>
      </w:r>
      <w:r>
        <w:rPr>
          <w:rFonts w:hint="eastAsia" w:ascii="宋体" w:hAnsi="宋体" w:cs="宋体"/>
          <w:color w:val="000000"/>
          <w:sz w:val="24"/>
        </w:rPr>
        <w:t>天内将与合同有关的通知、批准、证明、证书、指示、指令、要求、请求、同意、意见、确定和决定等书面函件送达对方当事人。</w:t>
      </w:r>
    </w:p>
    <w:p>
      <w:pPr>
        <w:spacing w:line="560" w:lineRule="exact"/>
        <w:ind w:firstLine="480" w:firstLineChars="200"/>
        <w:rPr>
          <w:rFonts w:ascii="宋体" w:hAnsi="宋体" w:cs="宋体"/>
          <w:color w:val="000000"/>
          <w:sz w:val="24"/>
        </w:rPr>
      </w:pPr>
      <w:r>
        <w:rPr>
          <w:rFonts w:hint="eastAsia" w:ascii="宋体" w:hAnsi="宋体" w:cs="宋体"/>
          <w:color w:val="000000"/>
          <w:sz w:val="24"/>
        </w:rPr>
        <w:t>1.7.2 发包人接收文件的地点：</w:t>
      </w:r>
      <w:r>
        <w:rPr>
          <w:rFonts w:hint="eastAsia" w:ascii="宋体" w:hAnsi="宋体" w:cs="宋体"/>
          <w:color w:val="000000"/>
          <w:sz w:val="24"/>
          <w:u w:val="single"/>
        </w:rPr>
        <w:t>现场相关单位</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发包人指定的接收人为：</w:t>
      </w:r>
      <w:r>
        <w:rPr>
          <w:rFonts w:hint="eastAsia" w:ascii="宋体" w:hAnsi="宋体" w:cs="宋体"/>
          <w:color w:val="000000"/>
          <w:sz w:val="24"/>
          <w:u w:val="single"/>
        </w:rPr>
        <w:t>发包人代表</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承包人接收文件的地点：</w:t>
      </w:r>
      <w:r>
        <w:rPr>
          <w:rFonts w:hint="eastAsia" w:ascii="宋体" w:hAnsi="宋体" w:cs="宋体"/>
          <w:color w:val="000000"/>
          <w:sz w:val="24"/>
          <w:u w:val="single"/>
        </w:rPr>
        <w:t>现场相关单位</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承包人指定的接收人为：</w:t>
      </w:r>
      <w:r>
        <w:rPr>
          <w:rFonts w:hint="eastAsia" w:ascii="宋体" w:hAnsi="宋体" w:cs="宋体"/>
          <w:color w:val="000000"/>
          <w:sz w:val="24"/>
          <w:u w:val="single"/>
        </w:rPr>
        <w:t xml:space="preserve">项目经理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监理人接收文件的地点：</w:t>
      </w:r>
      <w:r>
        <w:rPr>
          <w:rFonts w:hint="eastAsia" w:ascii="宋体" w:hAnsi="宋体" w:cs="宋体"/>
          <w:color w:val="000000"/>
          <w:sz w:val="24"/>
          <w:u w:val="single"/>
        </w:rPr>
        <w:t>现场相关单位</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监理人指定的接收人为：</w:t>
      </w:r>
      <w:r>
        <w:rPr>
          <w:rFonts w:hint="eastAsia" w:ascii="宋体" w:hAnsi="宋体" w:cs="宋体"/>
          <w:color w:val="000000"/>
          <w:sz w:val="24"/>
          <w:u w:val="single"/>
        </w:rPr>
        <w:t>总监理工程师</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1.10 交通运输</w:t>
      </w:r>
    </w:p>
    <w:p>
      <w:pPr>
        <w:spacing w:line="560" w:lineRule="exact"/>
        <w:ind w:firstLine="480" w:firstLineChars="200"/>
        <w:rPr>
          <w:rFonts w:ascii="宋体" w:hAnsi="宋体" w:cs="宋体"/>
          <w:color w:val="000000"/>
          <w:sz w:val="24"/>
        </w:rPr>
      </w:pPr>
      <w:r>
        <w:rPr>
          <w:rFonts w:hint="eastAsia" w:ascii="宋体" w:hAnsi="宋体" w:cs="宋体"/>
          <w:color w:val="000000"/>
          <w:sz w:val="24"/>
        </w:rPr>
        <w:t>1</w:t>
      </w:r>
      <w:bookmarkStart w:id="705" w:name="_Toc318581155"/>
      <w:bookmarkStart w:id="706" w:name="_Toc303539100"/>
      <w:bookmarkStart w:id="707" w:name="_Toc304295521"/>
      <w:bookmarkStart w:id="708" w:name="_Toc300934943"/>
      <w:bookmarkStart w:id="709" w:name="_Toc312677986"/>
      <w:r>
        <w:rPr>
          <w:rFonts w:hint="eastAsia" w:ascii="宋体" w:hAnsi="宋体" w:cs="宋体"/>
          <w:color w:val="000000"/>
          <w:sz w:val="24"/>
        </w:rPr>
        <w:t>.10.1 出入现场的权利</w:t>
      </w:r>
    </w:p>
    <w:p>
      <w:pPr>
        <w:spacing w:line="560" w:lineRule="exact"/>
        <w:ind w:firstLine="480" w:firstLineChars="200"/>
        <w:rPr>
          <w:rFonts w:ascii="宋体" w:hAnsi="宋体" w:cs="宋体"/>
          <w:sz w:val="24"/>
        </w:rPr>
      </w:pPr>
      <w:r>
        <w:rPr>
          <w:rFonts w:hint="eastAsia" w:ascii="宋体" w:hAnsi="宋体" w:cs="宋体"/>
          <w:color w:val="000000"/>
          <w:sz w:val="24"/>
        </w:rPr>
        <w:t>关于出</w:t>
      </w:r>
      <w:r>
        <w:rPr>
          <w:rFonts w:hint="eastAsia" w:ascii="宋体" w:hAnsi="宋体" w:cs="宋体"/>
          <w:sz w:val="24"/>
        </w:rPr>
        <w:t>入现场的权利的约定：</w:t>
      </w:r>
      <w:r>
        <w:rPr>
          <w:rFonts w:hint="eastAsia" w:ascii="宋体" w:hAnsi="宋体" w:cs="宋体"/>
          <w:color w:val="000000"/>
          <w:sz w:val="24"/>
          <w:u w:val="single"/>
        </w:rPr>
        <w:t>按通用条款执行</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1.10.2</w:t>
      </w:r>
    </w:p>
    <w:bookmarkEnd w:id="705"/>
    <w:bookmarkEnd w:id="706"/>
    <w:bookmarkEnd w:id="707"/>
    <w:bookmarkEnd w:id="708"/>
    <w:bookmarkEnd w:id="709"/>
    <w:p>
      <w:pPr>
        <w:spacing w:line="560" w:lineRule="exact"/>
        <w:ind w:firstLine="480" w:firstLineChars="200"/>
        <w:rPr>
          <w:rFonts w:ascii="宋体" w:hAnsi="宋体" w:cs="宋体"/>
          <w:sz w:val="24"/>
        </w:rPr>
      </w:pPr>
      <w:r>
        <w:rPr>
          <w:rFonts w:hint="eastAsia" w:ascii="宋体" w:hAnsi="宋体" w:cs="宋体"/>
          <w:sz w:val="24"/>
        </w:rPr>
        <w:t>1</w:t>
      </w:r>
      <w:bookmarkStart w:id="710" w:name="_Toc300934944"/>
      <w:bookmarkStart w:id="711" w:name="_Toc304295522"/>
      <w:bookmarkStart w:id="712" w:name="_Toc312677987"/>
      <w:bookmarkStart w:id="713" w:name="_Toc303539101"/>
      <w:bookmarkStart w:id="714" w:name="_Toc318581156"/>
      <w:r>
        <w:rPr>
          <w:rFonts w:hint="eastAsia" w:ascii="宋体" w:hAnsi="宋体" w:cs="宋体"/>
          <w:sz w:val="24"/>
        </w:rPr>
        <w:t>.10.3 场内交通</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关于场外交通和场内交通的边界的约定：</w:t>
      </w:r>
      <w:r>
        <w:rPr>
          <w:rFonts w:hint="eastAsia" w:ascii="宋体" w:hAnsi="宋体" w:cs="宋体"/>
          <w:color w:val="000000"/>
          <w:sz w:val="24"/>
          <w:u w:val="single"/>
        </w:rPr>
        <w:t>/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以现场实际施工条件为准</w:t>
      </w:r>
      <w:r>
        <w:rPr>
          <w:rFonts w:hint="eastAsia" w:ascii="宋体" w:hAnsi="宋体" w:cs="宋体"/>
          <w:sz w:val="24"/>
        </w:rPr>
        <w:t>。</w:t>
      </w:r>
      <w:bookmarkEnd w:id="710"/>
      <w:bookmarkEnd w:id="711"/>
      <w:bookmarkEnd w:id="712"/>
      <w:bookmarkEnd w:id="713"/>
      <w:bookmarkEnd w:id="714"/>
      <w:bookmarkStart w:id="715" w:name="_Toc318581157"/>
    </w:p>
    <w:p>
      <w:pPr>
        <w:spacing w:line="560" w:lineRule="exact"/>
        <w:ind w:firstLine="480" w:firstLineChars="200"/>
        <w:rPr>
          <w:rFonts w:ascii="宋体" w:hAnsi="宋体" w:cs="宋体"/>
          <w:sz w:val="24"/>
        </w:rPr>
      </w:pPr>
      <w:r>
        <w:rPr>
          <w:rFonts w:hint="eastAsia" w:ascii="宋体" w:hAnsi="宋体" w:cs="宋体"/>
          <w:sz w:val="24"/>
        </w:rPr>
        <w:t>1.10.4超大件和超重件的运输</w:t>
      </w:r>
    </w:p>
    <w:p>
      <w:pPr>
        <w:spacing w:line="560" w:lineRule="exact"/>
        <w:ind w:firstLine="480" w:firstLineChars="200"/>
        <w:rPr>
          <w:rFonts w:ascii="宋体" w:hAnsi="宋体" w:cs="宋体"/>
          <w:color w:val="000000"/>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w:t>
      </w:r>
      <w:r>
        <w:rPr>
          <w:rFonts w:hint="eastAsia" w:ascii="宋体" w:hAnsi="宋体" w:cs="宋体"/>
          <w:color w:val="000000"/>
          <w:sz w:val="24"/>
        </w:rPr>
        <w:t>承担。</w:t>
      </w:r>
    </w:p>
    <w:bookmarkEnd w:id="715"/>
    <w:p>
      <w:pPr>
        <w:spacing w:line="560" w:lineRule="exact"/>
        <w:ind w:firstLine="480" w:firstLineChars="200"/>
        <w:rPr>
          <w:rFonts w:ascii="宋体" w:hAnsi="宋体" w:cs="宋体"/>
          <w:color w:val="000000"/>
          <w:sz w:val="24"/>
        </w:rPr>
      </w:pPr>
      <w:r>
        <w:rPr>
          <w:rFonts w:hint="eastAsia" w:ascii="宋体" w:hAnsi="宋体" w:cs="宋体"/>
          <w:color w:val="000000"/>
          <w:sz w:val="24"/>
        </w:rPr>
        <w:t>1.11 知识产权</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 w:val="24"/>
          <w:u w:val="single"/>
        </w:rPr>
        <w:t>发包人</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关于发包人提供的上述文件的使用限制的要求：</w:t>
      </w:r>
      <w:r>
        <w:rPr>
          <w:rFonts w:hint="eastAsia" w:ascii="宋体" w:hAnsi="宋体" w:cs="宋体"/>
          <w:color w:val="000000"/>
          <w:sz w:val="24"/>
          <w:u w:val="single"/>
        </w:rPr>
        <w:t>仅限于本工程施工期间</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1.11.2 关于承包人为实施工程所编制文件的著作权的归属：</w:t>
      </w:r>
      <w:r>
        <w:rPr>
          <w:rFonts w:hint="eastAsia" w:ascii="宋体" w:hAnsi="宋体" w:cs="宋体"/>
          <w:sz w:val="24"/>
          <w:u w:val="single"/>
        </w:rPr>
        <w:t>承包人</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关于承包人提供的上述文件的使用限制的要求：</w:t>
      </w:r>
      <w:r>
        <w:rPr>
          <w:rFonts w:hint="eastAsia" w:ascii="宋体" w:hAnsi="宋体" w:cs="宋体"/>
          <w:sz w:val="24"/>
          <w:u w:val="single"/>
        </w:rPr>
        <w:t>仅限于此工程项目</w:t>
      </w:r>
      <w:r>
        <w:rPr>
          <w:rFonts w:hint="eastAsia" w:ascii="宋体" w:hAnsi="宋体" w:cs="宋体"/>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1.11.4 承包人在施工过程中所采用的专利、专有技术、技术秘密的使用费的承担方式：</w:t>
      </w:r>
      <w:r>
        <w:rPr>
          <w:rFonts w:hint="eastAsia" w:ascii="宋体" w:hAnsi="宋体" w:cs="宋体"/>
          <w:color w:val="000000"/>
          <w:sz w:val="24"/>
          <w:u w:val="single"/>
        </w:rPr>
        <w:t>承包人</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1.13工程量清单错误的修正</w:t>
      </w:r>
    </w:p>
    <w:p>
      <w:pPr>
        <w:spacing w:line="560" w:lineRule="exact"/>
        <w:ind w:firstLine="480" w:firstLineChars="200"/>
        <w:rPr>
          <w:rFonts w:ascii="宋体" w:hAnsi="宋体" w:cs="宋体"/>
          <w:color w:val="000000"/>
          <w:sz w:val="24"/>
        </w:rPr>
      </w:pPr>
      <w:r>
        <w:rPr>
          <w:rFonts w:hint="eastAsia" w:ascii="宋体" w:hAnsi="宋体" w:cs="宋体"/>
          <w:color w:val="000000"/>
          <w:sz w:val="24"/>
        </w:rPr>
        <w:t>出现工程量清单错误时，是否调整合同价格：</w:t>
      </w:r>
      <w:r>
        <w:rPr>
          <w:rFonts w:hint="eastAsia" w:ascii="宋体" w:hAnsi="宋体" w:cs="宋体"/>
          <w:sz w:val="24"/>
          <w:u w:val="single"/>
        </w:rPr>
        <w:t>否</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允许调整合同价格的工程量偏差范围：</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bookmarkStart w:id="716" w:name="_Toc489620086"/>
      <w:r>
        <w:rPr>
          <w:rFonts w:hint="eastAsia" w:ascii="宋体" w:hAnsi="宋体" w:cs="宋体"/>
          <w:color w:val="000000"/>
          <w:sz w:val="24"/>
        </w:rPr>
        <w:t>2</w:t>
      </w:r>
      <w:bookmarkStart w:id="717" w:name="_Toc292559867"/>
      <w:bookmarkStart w:id="718" w:name="_Toc297120457"/>
      <w:bookmarkStart w:id="719" w:name="_Toc296890985"/>
      <w:bookmarkStart w:id="720" w:name="_Toc292559362"/>
      <w:bookmarkStart w:id="721" w:name="_Toc296346658"/>
      <w:bookmarkStart w:id="722" w:name="_Toc297048343"/>
      <w:bookmarkStart w:id="723" w:name="_Toc296891197"/>
      <w:bookmarkStart w:id="724" w:name="_Toc296347156"/>
      <w:bookmarkStart w:id="725" w:name="_Toc296503157"/>
      <w:bookmarkStart w:id="726" w:name="_Toc296944496"/>
      <w:r>
        <w:rPr>
          <w:rFonts w:hint="eastAsia" w:ascii="宋体" w:hAnsi="宋体" w:cs="宋体"/>
          <w:color w:val="000000"/>
          <w:sz w:val="24"/>
        </w:rPr>
        <w:t>. 发包人</w:t>
      </w:r>
      <w:bookmarkEnd w:id="716"/>
    </w:p>
    <w:bookmarkEnd w:id="717"/>
    <w:bookmarkEnd w:id="718"/>
    <w:bookmarkEnd w:id="719"/>
    <w:bookmarkEnd w:id="720"/>
    <w:bookmarkEnd w:id="721"/>
    <w:bookmarkEnd w:id="722"/>
    <w:bookmarkEnd w:id="723"/>
    <w:bookmarkEnd w:id="724"/>
    <w:bookmarkEnd w:id="725"/>
    <w:bookmarkEnd w:id="726"/>
    <w:p>
      <w:pPr>
        <w:spacing w:line="560" w:lineRule="exact"/>
        <w:ind w:firstLine="480" w:firstLineChars="200"/>
        <w:rPr>
          <w:rFonts w:ascii="宋体" w:hAnsi="宋体" w:cs="宋体"/>
          <w:color w:val="000000"/>
          <w:sz w:val="24"/>
        </w:rPr>
      </w:pPr>
      <w:r>
        <w:rPr>
          <w:rFonts w:hint="eastAsia" w:ascii="宋体" w:hAnsi="宋体" w:cs="宋体"/>
          <w:color w:val="000000"/>
          <w:sz w:val="24"/>
        </w:rPr>
        <w:t>2.1 发包人代表</w:t>
      </w:r>
    </w:p>
    <w:p>
      <w:pPr>
        <w:spacing w:line="560" w:lineRule="exact"/>
        <w:ind w:firstLine="480" w:firstLineChars="200"/>
        <w:rPr>
          <w:rFonts w:ascii="宋体" w:hAnsi="宋体" w:cs="宋体"/>
          <w:color w:val="000000"/>
          <w:sz w:val="24"/>
        </w:rPr>
      </w:pPr>
      <w:r>
        <w:rPr>
          <w:rFonts w:hint="eastAsia" w:ascii="宋体" w:hAnsi="宋体" w:cs="宋体"/>
          <w:color w:val="000000"/>
          <w:sz w:val="24"/>
        </w:rPr>
        <w:t>姓    名：</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职    务：</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联系电话：</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发包人对发包人代表的授权范围如下：</w:t>
      </w:r>
      <w:r>
        <w:rPr>
          <w:rFonts w:hint="eastAsia" w:ascii="宋体" w:hAnsi="宋体" w:cs="宋体"/>
          <w:sz w:val="24"/>
          <w:u w:val="single"/>
        </w:rPr>
        <w:t>按发包人要求执行</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 xml:space="preserve">2.2监理单位： </w:t>
      </w:r>
    </w:p>
    <w:p>
      <w:pPr>
        <w:spacing w:line="560" w:lineRule="exact"/>
        <w:ind w:firstLine="480" w:firstLineChars="200"/>
        <w:rPr>
          <w:rFonts w:ascii="宋体" w:hAnsi="宋体" w:cs="宋体"/>
          <w:color w:val="000000"/>
          <w:sz w:val="24"/>
        </w:rPr>
      </w:pPr>
      <w:r>
        <w:rPr>
          <w:rFonts w:hint="eastAsia" w:ascii="宋体" w:hAnsi="宋体" w:cs="宋体"/>
          <w:color w:val="000000"/>
          <w:sz w:val="24"/>
        </w:rPr>
        <w:t>人    员：</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职    责：</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2.3 施工现场、施工条件和基础资料的提供</w:t>
      </w:r>
    </w:p>
    <w:p>
      <w:pPr>
        <w:spacing w:line="560" w:lineRule="exact"/>
        <w:ind w:firstLine="480" w:firstLineChars="200"/>
        <w:rPr>
          <w:rFonts w:ascii="宋体" w:hAnsi="宋体" w:cs="宋体"/>
          <w:color w:val="000000"/>
          <w:sz w:val="24"/>
        </w:rPr>
      </w:pPr>
      <w:r>
        <w:rPr>
          <w:rFonts w:hint="eastAsia" w:ascii="宋体" w:hAnsi="宋体" w:cs="宋体"/>
          <w:color w:val="000000"/>
          <w:sz w:val="24"/>
        </w:rPr>
        <w:t>2.3.1 提供施工现场</w:t>
      </w:r>
    </w:p>
    <w:p>
      <w:pPr>
        <w:spacing w:line="560" w:lineRule="exact"/>
        <w:ind w:firstLine="480" w:firstLineChars="200"/>
        <w:rPr>
          <w:rFonts w:ascii="宋体" w:hAnsi="宋体" w:cs="宋体"/>
          <w:color w:val="000000"/>
          <w:sz w:val="24"/>
        </w:rPr>
      </w:pPr>
      <w:r>
        <w:rPr>
          <w:rFonts w:hint="eastAsia" w:ascii="宋体" w:hAnsi="宋体" w:cs="宋体"/>
          <w:color w:val="000000"/>
          <w:sz w:val="24"/>
        </w:rPr>
        <w:t>关于发包人移交施工现场的期限要求：</w:t>
      </w:r>
      <w:r>
        <w:rPr>
          <w:rFonts w:hint="eastAsia" w:ascii="宋体" w:hAnsi="宋体" w:cs="宋体"/>
          <w:sz w:val="24"/>
          <w:u w:val="single"/>
        </w:rPr>
        <w:t>开工前提供</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2.3.2 提供施工条件</w:t>
      </w: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关于发包人应负责提供施工所需要的条件，包括：</w:t>
      </w:r>
      <w:r>
        <w:rPr>
          <w:rFonts w:hint="eastAsia" w:ascii="宋体" w:hAnsi="宋体" w:cs="宋体"/>
          <w:sz w:val="24"/>
          <w:u w:val="single"/>
        </w:rPr>
        <w:t>承包人负责接计量柜及水表，并负责使用期间的保养、维护，承担相应费用，包含在总报价中。</w:t>
      </w:r>
    </w:p>
    <w:p>
      <w:pPr>
        <w:spacing w:line="560" w:lineRule="exact"/>
        <w:ind w:firstLine="480" w:firstLineChars="200"/>
        <w:rPr>
          <w:rFonts w:ascii="宋体" w:hAnsi="宋体" w:cs="宋体"/>
          <w:color w:val="000000"/>
          <w:sz w:val="24"/>
        </w:rPr>
      </w:pPr>
      <w:r>
        <w:rPr>
          <w:rFonts w:hint="eastAsia" w:ascii="宋体" w:hAnsi="宋体" w:cs="宋体"/>
          <w:color w:val="000000"/>
          <w:sz w:val="24"/>
        </w:rPr>
        <w:t>2.4 资金来源证明及支付担保</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发包人提供资金来源证明的期限要求：</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发包人是否提供支付担保：</w:t>
      </w:r>
      <w:r>
        <w:rPr>
          <w:rFonts w:hint="eastAsia" w:ascii="宋体" w:hAnsi="宋体" w:cs="宋体"/>
          <w:color w:val="000000"/>
          <w:sz w:val="24"/>
          <w:u w:val="single"/>
        </w:rPr>
        <w:t xml:space="preserve">       /              </w:t>
      </w:r>
      <w:r>
        <w:rPr>
          <w:rFonts w:hint="eastAsia" w:ascii="宋体" w:hAnsi="宋体" w:cs="宋体"/>
          <w:color w:val="000000"/>
          <w:sz w:val="24"/>
        </w:rPr>
        <w:t>。</w:t>
      </w: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发包人提供支付担保的形式：</w:t>
      </w:r>
      <w:r>
        <w:rPr>
          <w:rFonts w:hint="eastAsia" w:ascii="宋体" w:hAnsi="宋体" w:cs="宋体"/>
          <w:color w:val="000000"/>
          <w:sz w:val="24"/>
          <w:u w:val="single"/>
        </w:rPr>
        <w:t>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bookmarkStart w:id="727" w:name="_Toc489620087"/>
      <w:r>
        <w:rPr>
          <w:rFonts w:hint="eastAsia" w:ascii="宋体" w:hAnsi="宋体" w:cs="宋体"/>
          <w:color w:val="000000"/>
          <w:sz w:val="24"/>
        </w:rPr>
        <w:t>3</w:t>
      </w:r>
      <w:bookmarkStart w:id="728" w:name="_Toc296347157"/>
      <w:bookmarkStart w:id="729" w:name="_Toc292559363"/>
      <w:bookmarkStart w:id="730" w:name="_Toc297120458"/>
      <w:bookmarkStart w:id="731" w:name="_Toc296346659"/>
      <w:bookmarkStart w:id="732" w:name="_Toc296891198"/>
      <w:bookmarkStart w:id="733" w:name="_Toc296944497"/>
      <w:bookmarkStart w:id="734" w:name="_Toc296503158"/>
      <w:bookmarkStart w:id="735" w:name="_Toc297048344"/>
      <w:bookmarkStart w:id="736" w:name="_Toc296890986"/>
      <w:bookmarkStart w:id="737" w:name="_Toc292559868"/>
      <w:r>
        <w:rPr>
          <w:rFonts w:hint="eastAsia" w:ascii="宋体" w:hAnsi="宋体" w:cs="宋体"/>
          <w:color w:val="000000"/>
          <w:sz w:val="24"/>
        </w:rPr>
        <w:t>. 承包人</w:t>
      </w:r>
      <w:bookmarkEnd w:id="727"/>
    </w:p>
    <w:bookmarkEnd w:id="728"/>
    <w:bookmarkEnd w:id="729"/>
    <w:bookmarkEnd w:id="730"/>
    <w:bookmarkEnd w:id="731"/>
    <w:bookmarkEnd w:id="732"/>
    <w:bookmarkEnd w:id="733"/>
    <w:bookmarkEnd w:id="734"/>
    <w:bookmarkEnd w:id="735"/>
    <w:bookmarkEnd w:id="736"/>
    <w:bookmarkEnd w:id="737"/>
    <w:p>
      <w:pPr>
        <w:spacing w:line="560" w:lineRule="exact"/>
        <w:ind w:firstLine="480" w:firstLineChars="200"/>
        <w:rPr>
          <w:rFonts w:ascii="宋体" w:hAnsi="宋体" w:cs="宋体"/>
          <w:color w:val="000000"/>
          <w:sz w:val="24"/>
        </w:rPr>
      </w:pPr>
      <w:r>
        <w:rPr>
          <w:rFonts w:hint="eastAsia" w:ascii="宋体" w:hAnsi="宋体" w:cs="宋体"/>
          <w:color w:val="000000"/>
          <w:sz w:val="24"/>
        </w:rPr>
        <w:t>3.1 承包人的一般义务</w:t>
      </w:r>
    </w:p>
    <w:p>
      <w:pPr>
        <w:spacing w:line="560" w:lineRule="exact"/>
        <w:ind w:firstLine="480" w:firstLineChars="200"/>
        <w:rPr>
          <w:rFonts w:ascii="宋体" w:hAnsi="宋体" w:cs="宋体"/>
          <w:color w:val="000000"/>
          <w:sz w:val="24"/>
        </w:rPr>
      </w:pPr>
      <w:r>
        <w:rPr>
          <w:rFonts w:hint="eastAsia" w:ascii="宋体" w:hAnsi="宋体" w:cs="宋体"/>
          <w:color w:val="000000"/>
          <w:sz w:val="24"/>
        </w:rPr>
        <w:t>（9）承包人提交的竣工资料的内容：</w:t>
      </w:r>
      <w:r>
        <w:rPr>
          <w:rFonts w:hint="eastAsia" w:ascii="宋体" w:hAnsi="宋体" w:cs="宋体"/>
          <w:color w:val="000000"/>
          <w:sz w:val="24"/>
          <w:u w:val="single"/>
        </w:rPr>
        <w:t>提交符合发包人及相关部门要求的竣工图及竣工资料；并提交完整的结算资料。</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承包人需要提交的竣工资料套数：</w:t>
      </w:r>
      <w:r>
        <w:rPr>
          <w:rFonts w:hint="eastAsia" w:ascii="宋体" w:hAnsi="宋体" w:cs="宋体"/>
          <w:color w:val="000000"/>
          <w:sz w:val="24"/>
          <w:u w:val="single"/>
        </w:rPr>
        <w:t xml:space="preserve">      4套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承包人提交的竣工资料的费用承担：</w:t>
      </w:r>
      <w:r>
        <w:rPr>
          <w:rFonts w:hint="eastAsia" w:ascii="宋体" w:hAnsi="宋体" w:cs="宋体"/>
          <w:color w:val="000000"/>
          <w:sz w:val="24"/>
          <w:u w:val="single"/>
        </w:rPr>
        <w:t xml:space="preserve">    承包人自行承担</w:t>
      </w:r>
      <w:r>
        <w:rPr>
          <w:rFonts w:hint="eastAsia" w:ascii="宋体" w:hAnsi="宋体" w:cs="宋体"/>
          <w:color w:val="000000"/>
          <w:sz w:val="24"/>
        </w:rPr>
        <w:t>。</w:t>
      </w:r>
    </w:p>
    <w:p>
      <w:pPr>
        <w:spacing w:line="560" w:lineRule="exact"/>
        <w:ind w:firstLine="482" w:firstLineChars="200"/>
        <w:rPr>
          <w:rFonts w:ascii="宋体" w:hAnsi="宋体" w:cs="宋体"/>
          <w:b/>
          <w:color w:val="000000"/>
          <w:sz w:val="24"/>
        </w:rPr>
      </w:pPr>
      <w:r>
        <w:rPr>
          <w:rFonts w:hint="eastAsia" w:ascii="宋体" w:hAnsi="宋体" w:cs="宋体"/>
          <w:b/>
          <w:color w:val="000000"/>
          <w:sz w:val="24"/>
        </w:rPr>
        <w:t>承包人提交的竣工资料移交时间：</w:t>
      </w:r>
      <w:r>
        <w:rPr>
          <w:rFonts w:hint="eastAsia" w:ascii="宋体" w:hAnsi="宋体" w:cs="宋体"/>
          <w:b/>
          <w:color w:val="000000"/>
          <w:sz w:val="24"/>
          <w:u w:val="single"/>
        </w:rPr>
        <w:t xml:space="preserve">     30日内    </w:t>
      </w:r>
      <w:r>
        <w:rPr>
          <w:rFonts w:hint="eastAsia" w:ascii="宋体" w:hAnsi="宋体" w:cs="宋体"/>
          <w:b/>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承包人提交的竣工资料形式要求：</w:t>
      </w:r>
      <w:r>
        <w:rPr>
          <w:rFonts w:hint="eastAsia" w:ascii="宋体" w:hAnsi="宋体" w:cs="宋体"/>
          <w:sz w:val="24"/>
          <w:u w:val="single"/>
        </w:rPr>
        <w:t>按相关文件规定</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（10）承包人应履行的其他义务：</w:t>
      </w:r>
    </w:p>
    <w:p>
      <w:pPr>
        <w:spacing w:line="560" w:lineRule="exact"/>
        <w:ind w:firstLine="480" w:firstLineChars="200"/>
        <w:rPr>
          <w:rFonts w:ascii="宋体" w:hAnsi="宋体" w:cs="宋体"/>
          <w:sz w:val="24"/>
          <w:u w:val="single"/>
        </w:rPr>
      </w:pPr>
      <w:r>
        <w:rPr>
          <w:rFonts w:hint="eastAsia" w:ascii="宋体" w:hAnsi="宋体" w:cs="宋体"/>
          <w:color w:val="000000"/>
          <w:sz w:val="24"/>
          <w:u w:val="single"/>
        </w:rPr>
        <w:t></w:t>
      </w:r>
      <w:r>
        <w:rPr>
          <w:rFonts w:hint="eastAsia" w:ascii="宋体" w:hAnsi="宋体" w:cs="宋体"/>
          <w:sz w:val="24"/>
          <w:u w:val="single"/>
        </w:rPr>
        <w:t>一、根据国家及地方有关规定，由发包人协助承包人办理有关交通、环卫、环保手续，其费用由相关单位承担。</w:t>
      </w:r>
    </w:p>
    <w:p>
      <w:pPr>
        <w:spacing w:line="560" w:lineRule="exact"/>
        <w:ind w:firstLine="480" w:firstLineChars="200"/>
        <w:rPr>
          <w:rFonts w:ascii="宋体" w:hAnsi="宋体" w:cs="宋体"/>
          <w:sz w:val="24"/>
          <w:u w:val="single"/>
        </w:rPr>
      </w:pPr>
      <w:r>
        <w:rPr>
          <w:rFonts w:hint="eastAsia" w:ascii="宋体" w:hAnsi="宋体" w:cs="宋体"/>
          <w:sz w:val="24"/>
          <w:u w:val="single"/>
        </w:rPr>
        <w:t>二、高（中）考、节假日、市内有关方面重大活动期间或发包人需要的特别时间段内，可能对施工作出某些限制和配合要求，承包人应予无条件服从，并按照有关要求作出必要的配合，这可能造成承包人损失，但发包人将不承担承包人的任何损失，工期顺延。</w:t>
      </w:r>
    </w:p>
    <w:p>
      <w:pPr>
        <w:spacing w:line="560" w:lineRule="exact"/>
        <w:ind w:firstLine="480" w:firstLineChars="200"/>
        <w:rPr>
          <w:rFonts w:ascii="宋体" w:hAnsi="宋体" w:cs="宋体"/>
          <w:color w:val="000000"/>
          <w:sz w:val="24"/>
        </w:rPr>
      </w:pPr>
      <w:r>
        <w:rPr>
          <w:rFonts w:hint="eastAsia" w:ascii="宋体" w:hAnsi="宋体" w:cs="宋体"/>
          <w:sz w:val="24"/>
          <w:u w:val="single"/>
        </w:rPr>
        <w:t>三、施工场地周围地下管线和邻近建筑物、构筑物的保护：施工场地周围地下管线和邻近建筑物、构筑物等，承包人不得破坏，否则按相关规定执行并由承包人承担由此发生的费用</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3.2 项目经理</w:t>
      </w:r>
    </w:p>
    <w:p>
      <w:pPr>
        <w:spacing w:line="560" w:lineRule="exact"/>
        <w:ind w:firstLine="480" w:firstLineChars="200"/>
        <w:rPr>
          <w:rFonts w:ascii="宋体" w:hAnsi="宋体" w:cs="宋体"/>
          <w:color w:val="000000"/>
          <w:sz w:val="24"/>
        </w:rPr>
      </w:pPr>
      <w:r>
        <w:rPr>
          <w:rFonts w:hint="eastAsia" w:ascii="宋体" w:hAnsi="宋体" w:cs="宋体"/>
          <w:color w:val="000000"/>
          <w:sz w:val="24"/>
        </w:rPr>
        <w:t>3.2.1 项目经理：</w:t>
      </w:r>
    </w:p>
    <w:p>
      <w:pPr>
        <w:spacing w:line="560" w:lineRule="exact"/>
        <w:ind w:firstLine="480" w:firstLineChars="200"/>
        <w:rPr>
          <w:rFonts w:ascii="宋体" w:hAnsi="宋体" w:cs="宋体"/>
          <w:color w:val="000000"/>
          <w:sz w:val="24"/>
        </w:rPr>
      </w:pPr>
      <w:r>
        <w:rPr>
          <w:rFonts w:hint="eastAsia" w:ascii="宋体" w:hAnsi="宋体" w:cs="宋体"/>
          <w:color w:val="000000"/>
          <w:sz w:val="24"/>
        </w:rPr>
        <w:t>姓    名：</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身份证号：</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建造师执业资格等级：</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建造师注册证书号：</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建造师执业印章号：</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安全生产考核合格证书号：</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联系电话：</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承包人未提交劳动合同，以及没有为项目经理缴纳社会保险证明的违约责任：</w:t>
      </w:r>
      <w:r>
        <w:rPr>
          <w:rFonts w:hint="eastAsia" w:ascii="宋体" w:hAnsi="宋体" w:cs="宋体"/>
          <w:sz w:val="24"/>
          <w:u w:val="single"/>
        </w:rPr>
        <w:t>由承包人承担</w:t>
      </w:r>
      <w:r>
        <w:rPr>
          <w:rFonts w:hint="eastAsia" w:ascii="宋体" w:hAnsi="宋体" w:cs="宋体"/>
          <w:color w:val="000000"/>
          <w:sz w:val="24"/>
        </w:rPr>
        <w:t>。</w:t>
      </w: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项目经理未经批准，擅自离开施工现场的违约责任：</w:t>
      </w:r>
      <w:r>
        <w:rPr>
          <w:rFonts w:hint="eastAsia" w:ascii="宋体" w:hAnsi="宋体" w:cs="宋体"/>
          <w:sz w:val="24"/>
          <w:u w:val="single"/>
        </w:rPr>
        <w:t>按通用条款执行。</w:t>
      </w:r>
    </w:p>
    <w:p>
      <w:pPr>
        <w:spacing w:line="560" w:lineRule="exact"/>
        <w:ind w:firstLine="480" w:firstLineChars="200"/>
        <w:rPr>
          <w:rFonts w:ascii="宋体" w:hAnsi="宋体" w:cs="宋体"/>
          <w:color w:val="000000"/>
          <w:sz w:val="24"/>
        </w:rPr>
      </w:pPr>
      <w:r>
        <w:rPr>
          <w:rFonts w:hint="eastAsia" w:ascii="宋体" w:hAnsi="宋体" w:cs="宋体"/>
          <w:color w:val="000000"/>
          <w:sz w:val="24"/>
        </w:rPr>
        <w:t>3.2.3 承包人擅自更换项目经理的违约责任：</w:t>
      </w:r>
      <w:r>
        <w:rPr>
          <w:rFonts w:hint="eastAsia" w:ascii="宋体" w:hAnsi="宋体" w:cs="宋体"/>
          <w:sz w:val="24"/>
          <w:u w:val="single"/>
        </w:rPr>
        <w:t>承包人在投标书中所列的建造师未经发包人同意不得擅自更换，若未经发包人同意擅自更换，承包人属于重大违约，发包人有权立即解除合同，并向承包人追究由此给发包人带来的一切损失。</w:t>
      </w:r>
    </w:p>
    <w:p>
      <w:pPr>
        <w:spacing w:line="560" w:lineRule="exact"/>
        <w:ind w:firstLine="480" w:firstLineChars="200"/>
        <w:rPr>
          <w:rFonts w:ascii="宋体" w:hAnsi="宋体" w:cs="宋体"/>
          <w:color w:val="000000"/>
          <w:sz w:val="24"/>
        </w:rPr>
      </w:pPr>
      <w:r>
        <w:rPr>
          <w:rFonts w:hint="eastAsia" w:ascii="宋体" w:hAnsi="宋体" w:cs="宋体"/>
          <w:color w:val="000000"/>
          <w:sz w:val="24"/>
        </w:rPr>
        <w:t>3.3 承包人人员</w:t>
      </w:r>
    </w:p>
    <w:p>
      <w:pPr>
        <w:spacing w:line="560" w:lineRule="exact"/>
        <w:ind w:firstLine="480" w:firstLineChars="200"/>
        <w:rPr>
          <w:rFonts w:ascii="宋体" w:hAnsi="宋体" w:cs="宋体"/>
          <w:color w:val="000000"/>
          <w:sz w:val="24"/>
        </w:rPr>
      </w:pPr>
      <w:r>
        <w:rPr>
          <w:rFonts w:hint="eastAsia" w:ascii="宋体" w:hAnsi="宋体" w:cs="宋体"/>
          <w:color w:val="000000"/>
          <w:sz w:val="24"/>
        </w:rPr>
        <w:t>3.3.1 承包人提交项目管理机构及施工现场管理人员安排报告的期限：</w:t>
      </w:r>
      <w:r>
        <w:rPr>
          <w:rFonts w:hint="eastAsia" w:ascii="宋体" w:hAnsi="宋体" w:cs="宋体"/>
          <w:sz w:val="24"/>
          <w:u w:val="single"/>
        </w:rPr>
        <w:t xml:space="preserve">开工前七天  </w:t>
      </w:r>
      <w:r>
        <w:rPr>
          <w:rFonts w:hint="eastAsia" w:ascii="宋体" w:hAnsi="宋体" w:cs="宋体"/>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3.3.3 承包人无正当理由拒绝撤换主要施工管理人员的违约责任：</w:t>
      </w:r>
      <w:r>
        <w:rPr>
          <w:rFonts w:hint="eastAsia" w:ascii="宋体" w:hAnsi="宋体" w:cs="宋体"/>
          <w:color w:val="000000"/>
          <w:sz w:val="24"/>
          <w:u w:val="single"/>
        </w:rPr>
        <w:t>按通用条款执行</w:t>
      </w:r>
      <w:r>
        <w:rPr>
          <w:rFonts w:hint="eastAsia" w:ascii="宋体" w:hAnsi="宋体" w:cs="宋体"/>
          <w:color w:val="000000"/>
          <w:sz w:val="24"/>
        </w:rPr>
        <w:t>。</w:t>
      </w:r>
    </w:p>
    <w:p>
      <w:pPr>
        <w:spacing w:line="560" w:lineRule="exact"/>
        <w:ind w:firstLine="480" w:firstLineChars="200"/>
        <w:rPr>
          <w:rFonts w:ascii="宋体" w:hAnsi="宋体" w:cs="宋体"/>
          <w:color w:val="000000"/>
          <w:sz w:val="24"/>
          <w:u w:val="single"/>
        </w:rPr>
      </w:pPr>
      <w:r>
        <w:rPr>
          <w:rFonts w:hint="eastAsia" w:ascii="宋体" w:hAnsi="宋体" w:cs="宋体"/>
          <w:color w:val="000000"/>
          <w:sz w:val="24"/>
        </w:rPr>
        <w:t>3.3.4 承包人主要施工管理人员离开施工现场的批准要求：</w:t>
      </w:r>
      <w:r>
        <w:rPr>
          <w:rFonts w:hint="eastAsia" w:ascii="宋体" w:hAnsi="宋体" w:cs="宋体"/>
          <w:color w:val="000000"/>
          <w:sz w:val="24"/>
          <w:u w:val="single"/>
        </w:rPr>
        <w:t xml:space="preserve">/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3.3.5承包人擅自更换主要施工管理人员的违约责任：</w:t>
      </w:r>
      <w:r>
        <w:rPr>
          <w:rFonts w:hint="eastAsia" w:ascii="宋体" w:hAnsi="宋体" w:cs="宋体"/>
          <w:sz w:val="24"/>
          <w:u w:val="single"/>
        </w:rPr>
        <w:t>承包人在投标书中所列项目部6大员未经发包人同意不得擅自更换，若未经发包人同意擅自更换，承包人属于重大违约，发包人有权立即解除合同，并向承包人追究由此给发包人带来的一切损失</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承包人主要施工管理人员擅自离开施工现场的违约责任：</w:t>
      </w:r>
      <w:r>
        <w:rPr>
          <w:rFonts w:hint="eastAsia" w:ascii="宋体" w:hAnsi="宋体" w:cs="宋体"/>
          <w:sz w:val="24"/>
          <w:u w:val="single"/>
        </w:rPr>
        <w:t>按通用条款执行</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3</w:t>
      </w:r>
      <w:bookmarkStart w:id="738" w:name="_Toc304295523"/>
      <w:bookmarkStart w:id="739" w:name="_Toc296503159"/>
      <w:bookmarkStart w:id="740" w:name="_Toc297120459"/>
      <w:bookmarkStart w:id="741" w:name="_Toc296944498"/>
      <w:bookmarkStart w:id="742" w:name="_Toc296347158"/>
      <w:bookmarkStart w:id="743" w:name="_Toc296346660"/>
      <w:bookmarkStart w:id="744" w:name="_Toc297048345"/>
      <w:bookmarkStart w:id="745" w:name="_Toc312677988"/>
      <w:bookmarkStart w:id="746" w:name="_Toc292559364"/>
      <w:bookmarkStart w:id="747" w:name="_Toc296890987"/>
      <w:bookmarkStart w:id="748" w:name="_Toc297216151"/>
      <w:bookmarkStart w:id="749" w:name="_Toc300934945"/>
      <w:bookmarkStart w:id="750" w:name="_Toc292559869"/>
      <w:bookmarkStart w:id="751" w:name="_Toc297123492"/>
      <w:bookmarkStart w:id="752" w:name="_Toc296891199"/>
      <w:bookmarkStart w:id="753" w:name="_Toc303539102"/>
      <w:r>
        <w:rPr>
          <w:rFonts w:hint="eastAsia" w:ascii="宋体" w:hAnsi="宋体" w:cs="宋体"/>
          <w:color w:val="000000"/>
          <w:sz w:val="24"/>
        </w:rPr>
        <w:t>.5 分包</w:t>
      </w:r>
    </w:p>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Pr>
        <w:spacing w:line="560" w:lineRule="exact"/>
        <w:ind w:firstLine="480" w:firstLineChars="200"/>
        <w:rPr>
          <w:rFonts w:ascii="宋体" w:hAnsi="宋体" w:cs="宋体"/>
          <w:color w:val="000000"/>
          <w:sz w:val="24"/>
        </w:rPr>
      </w:pPr>
      <w:r>
        <w:rPr>
          <w:rFonts w:hint="eastAsia" w:ascii="宋体" w:hAnsi="宋体" w:cs="宋体"/>
          <w:color w:val="000000"/>
          <w:sz w:val="24"/>
        </w:rPr>
        <w:t>3</w:t>
      </w:r>
      <w:bookmarkStart w:id="754" w:name="_Toc292559365"/>
      <w:bookmarkStart w:id="755" w:name="_Toc292559870"/>
      <w:bookmarkStart w:id="756" w:name="_Toc296891200"/>
      <w:bookmarkStart w:id="757" w:name="_Toc297216152"/>
      <w:bookmarkStart w:id="758" w:name="_Toc296890988"/>
      <w:bookmarkStart w:id="759" w:name="_Toc297120460"/>
      <w:bookmarkStart w:id="760" w:name="_Toc296346661"/>
      <w:bookmarkStart w:id="761" w:name="_Toc296944499"/>
      <w:bookmarkStart w:id="762" w:name="_Toc296503160"/>
      <w:bookmarkStart w:id="763" w:name="_Toc300934946"/>
      <w:bookmarkStart w:id="764" w:name="_Toc304295524"/>
      <w:bookmarkStart w:id="765" w:name="_Toc303539103"/>
      <w:bookmarkStart w:id="766" w:name="_Toc296347159"/>
      <w:bookmarkStart w:id="767" w:name="_Toc297048346"/>
      <w:bookmarkStart w:id="768" w:name="_Toc297123493"/>
      <w:bookmarkStart w:id="769" w:name="_Toc318581158"/>
      <w:bookmarkStart w:id="770" w:name="_Toc312677989"/>
      <w:r>
        <w:rPr>
          <w:rFonts w:hint="eastAsia" w:ascii="宋体" w:hAnsi="宋体" w:cs="宋体"/>
          <w:color w:val="000000"/>
          <w:sz w:val="24"/>
        </w:rPr>
        <w:t>.5.1 分包的一般约定</w:t>
      </w:r>
    </w:p>
    <w:p>
      <w:pPr>
        <w:spacing w:line="560" w:lineRule="exact"/>
        <w:ind w:firstLine="480" w:firstLineChars="200"/>
        <w:rPr>
          <w:rFonts w:ascii="宋体" w:hAnsi="宋体" w:cs="宋体"/>
          <w:sz w:val="24"/>
        </w:rPr>
      </w:pPr>
      <w:r>
        <w:rPr>
          <w:rFonts w:hint="eastAsia" w:ascii="宋体" w:hAnsi="宋体" w:cs="宋体"/>
          <w:color w:val="000000"/>
          <w:sz w:val="24"/>
        </w:rPr>
        <w:t>禁止</w:t>
      </w:r>
      <w:r>
        <w:rPr>
          <w:rFonts w:hint="eastAsia" w:ascii="宋体" w:hAnsi="宋体" w:cs="宋体"/>
          <w:sz w:val="24"/>
        </w:rPr>
        <w:t>分包的工程包括</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Start w:id="771" w:name="_Toc297216153"/>
      <w:bookmarkStart w:id="772" w:name="_Toc296503161"/>
      <w:bookmarkStart w:id="773" w:name="_Toc297048347"/>
      <w:bookmarkStart w:id="774" w:name="_Toc303539104"/>
      <w:bookmarkStart w:id="775" w:name="_Toc300934947"/>
      <w:bookmarkStart w:id="776" w:name="_Toc296347160"/>
      <w:bookmarkStart w:id="777" w:name="_Toc304295525"/>
      <w:bookmarkStart w:id="778" w:name="_Toc297123494"/>
      <w:bookmarkStart w:id="779" w:name="_Toc296891201"/>
      <w:bookmarkStart w:id="780" w:name="_Toc296890989"/>
      <w:bookmarkStart w:id="781" w:name="_Toc296944500"/>
      <w:bookmarkStart w:id="782" w:name="_Toc297120461"/>
      <w:bookmarkStart w:id="783" w:name="_Toc296346662"/>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Pr>
        <w:spacing w:line="560" w:lineRule="exact"/>
        <w:ind w:firstLine="480" w:firstLineChars="200"/>
        <w:rPr>
          <w:rFonts w:ascii="宋体" w:hAnsi="宋体" w:cs="宋体"/>
          <w:sz w:val="24"/>
        </w:rPr>
      </w:pPr>
      <w:r>
        <w:rPr>
          <w:rFonts w:hint="eastAsia" w:ascii="宋体" w:hAnsi="宋体" w:cs="宋体"/>
          <w:sz w:val="24"/>
        </w:rPr>
        <w:t>3</w:t>
      </w:r>
      <w:bookmarkStart w:id="784" w:name="_Toc312677990"/>
      <w:bookmarkStart w:id="785" w:name="_Toc318581159"/>
      <w:r>
        <w:rPr>
          <w:rFonts w:hint="eastAsia" w:ascii="宋体" w:hAnsi="宋体" w:cs="宋体"/>
          <w:sz w:val="24"/>
        </w:rPr>
        <w:t>.5.2分包的确定</w:t>
      </w:r>
    </w:p>
    <w:p>
      <w:pPr>
        <w:spacing w:line="560" w:lineRule="exact"/>
        <w:ind w:firstLine="480" w:firstLineChars="200"/>
        <w:rPr>
          <w:rFonts w:ascii="宋体" w:hAnsi="宋体" w:cs="宋体"/>
          <w:sz w:val="24"/>
          <w:u w:val="single"/>
        </w:rPr>
      </w:pPr>
      <w:r>
        <w:rPr>
          <w:rFonts w:hint="eastAsia" w:ascii="宋体" w:hAnsi="宋体" w:cs="宋体"/>
          <w:sz w:val="24"/>
        </w:rPr>
        <w:t>允许分包的专业工程包括</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w:t>
      </w:r>
    </w:p>
    <w:p>
      <w:pPr>
        <w:spacing w:line="560" w:lineRule="exact"/>
        <w:ind w:firstLine="480" w:firstLineChars="200"/>
        <w:rPr>
          <w:rFonts w:ascii="宋体" w:hAnsi="宋体" w:cs="宋体"/>
          <w:sz w:val="24"/>
        </w:rPr>
      </w:pPr>
      <w:r>
        <w:rPr>
          <w:rFonts w:hint="eastAsia" w:ascii="宋体" w:hAnsi="宋体" w:cs="宋体"/>
          <w:sz w:val="24"/>
        </w:rPr>
        <w:t>3.5.4 分包合同价款</w:t>
      </w:r>
    </w:p>
    <w:p>
      <w:pPr>
        <w:spacing w:line="560" w:lineRule="exact"/>
        <w:ind w:firstLine="480" w:firstLineChars="200"/>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w:t>
      </w:r>
    </w:p>
    <w:bookmarkEnd w:id="784"/>
    <w:bookmarkEnd w:id="785"/>
    <w:p>
      <w:pPr>
        <w:spacing w:line="560" w:lineRule="exact"/>
        <w:ind w:firstLine="480" w:firstLineChars="200"/>
        <w:rPr>
          <w:rFonts w:ascii="宋体" w:hAnsi="宋体" w:cs="宋体"/>
          <w:color w:val="000000"/>
          <w:sz w:val="24"/>
        </w:rPr>
      </w:pPr>
      <w:r>
        <w:rPr>
          <w:rFonts w:hint="eastAsia" w:ascii="宋体" w:hAnsi="宋体" w:cs="宋体"/>
          <w:sz w:val="24"/>
        </w:rPr>
        <w:t>3.6 工程</w:t>
      </w:r>
      <w:r>
        <w:rPr>
          <w:rFonts w:hint="eastAsia" w:ascii="宋体" w:hAnsi="宋体" w:cs="宋体"/>
          <w:color w:val="000000"/>
          <w:sz w:val="24"/>
        </w:rPr>
        <w:t>照管与成品、半成品保护</w:t>
      </w:r>
    </w:p>
    <w:p>
      <w:pPr>
        <w:spacing w:line="560" w:lineRule="exact"/>
        <w:ind w:firstLine="480" w:firstLineChars="200"/>
        <w:rPr>
          <w:rFonts w:ascii="宋体" w:hAnsi="宋体" w:cs="宋体"/>
          <w:sz w:val="24"/>
          <w:u w:val="single"/>
        </w:rPr>
      </w:pPr>
      <w:r>
        <w:rPr>
          <w:rFonts w:hint="eastAsia" w:ascii="宋体" w:hAnsi="宋体" w:cs="宋体"/>
          <w:color w:val="000000"/>
          <w:sz w:val="24"/>
          <w:u w:val="single"/>
        </w:rPr>
        <w:t>承包人负责照</w:t>
      </w:r>
      <w:r>
        <w:rPr>
          <w:rFonts w:hint="eastAsia" w:ascii="宋体" w:hAnsi="宋体" w:cs="宋体"/>
          <w:sz w:val="24"/>
          <w:u w:val="single"/>
        </w:rPr>
        <w:t>管工程及工程相关的材料、工程设备的起始时间：自发包人向承包人移交施工现场之日起；已竣工工程未交付发包人之前，承包人应负责已完工程的保护工作，保护期间发生损坏，承包人自费予以修复。</w:t>
      </w:r>
    </w:p>
    <w:p>
      <w:pPr>
        <w:spacing w:line="560" w:lineRule="exact"/>
        <w:ind w:firstLine="480" w:firstLineChars="200"/>
        <w:rPr>
          <w:rFonts w:ascii="宋体" w:hAnsi="宋体" w:cs="宋体"/>
          <w:color w:val="000000"/>
          <w:sz w:val="24"/>
        </w:rPr>
      </w:pPr>
      <w:r>
        <w:rPr>
          <w:rFonts w:hint="eastAsia" w:ascii="宋体" w:hAnsi="宋体" w:cs="宋体"/>
          <w:color w:val="000000"/>
          <w:sz w:val="24"/>
        </w:rPr>
        <w:t>3.7 履约担保</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承包人是否提供履约担保：</w:t>
      </w:r>
      <w:r>
        <w:rPr>
          <w:rFonts w:hint="eastAsia" w:ascii="宋体" w:hAnsi="宋体" w:cs="宋体"/>
          <w:sz w:val="24"/>
          <w:u w:val="single"/>
        </w:rPr>
        <w:t>是</w:t>
      </w:r>
      <w:r>
        <w:rPr>
          <w:rFonts w:hint="eastAsia" w:ascii="宋体" w:hAnsi="宋体" w:cs="宋体"/>
          <w:color w:val="000000"/>
          <w:sz w:val="24"/>
        </w:rPr>
        <w:t>。</w:t>
      </w:r>
    </w:p>
    <w:p>
      <w:pPr>
        <w:spacing w:line="560" w:lineRule="exact"/>
        <w:ind w:firstLine="480" w:firstLineChars="200"/>
        <w:rPr>
          <w:rFonts w:ascii="宋体" w:hAnsi="宋体" w:cs="宋体"/>
          <w:color w:val="auto"/>
          <w:sz w:val="24"/>
          <w:u w:val="single"/>
        </w:rPr>
      </w:pPr>
      <w:r>
        <w:rPr>
          <w:rFonts w:hint="eastAsia" w:ascii="宋体" w:hAnsi="宋体" w:cs="宋体"/>
          <w:color w:val="000000"/>
          <w:sz w:val="24"/>
        </w:rPr>
        <w:t>承包人提供履约担保的形式、金额及</w:t>
      </w:r>
      <w:r>
        <w:rPr>
          <w:rFonts w:hint="eastAsia" w:ascii="宋体" w:hAnsi="宋体" w:cs="宋体"/>
          <w:color w:val="auto"/>
          <w:sz w:val="24"/>
        </w:rPr>
        <w:t>期限的：</w:t>
      </w:r>
      <w:r>
        <w:rPr>
          <w:rFonts w:hint="eastAsia" w:ascii="宋体" w:hAnsi="宋体" w:cs="宋体"/>
          <w:color w:val="auto"/>
          <w:sz w:val="24"/>
          <w:u w:val="single"/>
        </w:rPr>
        <w:t>成交供应商在合同签订前，向采购人提供相当于合同总价 5 %的履约保证金（成交供应商自主选择以支票、汇票、本票、保函等非现金形式缴纳或提交），采购人将在终验完毕后返还乙方履约保证金（不计息）。</w:t>
      </w:r>
    </w:p>
    <w:p>
      <w:pPr>
        <w:spacing w:line="560" w:lineRule="exact"/>
        <w:ind w:firstLine="480" w:firstLineChars="200"/>
        <w:rPr>
          <w:rFonts w:ascii="宋体" w:hAnsi="宋体" w:cs="宋体"/>
          <w:color w:val="auto"/>
          <w:sz w:val="24"/>
        </w:rPr>
      </w:pPr>
      <w:bookmarkStart w:id="786" w:name="_Toc489620088"/>
      <w:r>
        <w:rPr>
          <w:rFonts w:hint="eastAsia" w:ascii="宋体" w:hAnsi="宋体" w:cs="宋体"/>
          <w:color w:val="auto"/>
          <w:sz w:val="24"/>
        </w:rPr>
        <w:t>4</w:t>
      </w:r>
      <w:bookmarkStart w:id="787" w:name="_Toc297048348"/>
      <w:bookmarkStart w:id="788" w:name="_Toc297120462"/>
      <w:bookmarkStart w:id="789" w:name="_Toc296891202"/>
      <w:bookmarkStart w:id="790" w:name="_Toc292559871"/>
      <w:bookmarkStart w:id="791" w:name="_Toc267251413"/>
      <w:bookmarkStart w:id="792" w:name="_Toc296944501"/>
      <w:bookmarkStart w:id="793" w:name="_Toc296346663"/>
      <w:bookmarkStart w:id="794" w:name="_Toc296890990"/>
      <w:bookmarkStart w:id="795" w:name="_Toc296347161"/>
      <w:bookmarkStart w:id="796" w:name="_Toc296503162"/>
      <w:bookmarkStart w:id="797" w:name="_Toc292559366"/>
      <w:r>
        <w:rPr>
          <w:rFonts w:hint="eastAsia" w:ascii="宋体" w:hAnsi="宋体" w:cs="宋体"/>
          <w:color w:val="auto"/>
          <w:sz w:val="24"/>
        </w:rPr>
        <w:t>. 监</w:t>
      </w:r>
      <w:bookmarkEnd w:id="787"/>
      <w:bookmarkEnd w:id="788"/>
      <w:bookmarkEnd w:id="789"/>
      <w:bookmarkEnd w:id="790"/>
      <w:bookmarkEnd w:id="791"/>
      <w:bookmarkEnd w:id="792"/>
      <w:bookmarkEnd w:id="793"/>
      <w:bookmarkEnd w:id="794"/>
      <w:bookmarkEnd w:id="795"/>
      <w:bookmarkEnd w:id="796"/>
      <w:bookmarkEnd w:id="797"/>
      <w:r>
        <w:rPr>
          <w:rFonts w:hint="eastAsia" w:ascii="宋体" w:hAnsi="宋体" w:cs="宋体"/>
          <w:color w:val="auto"/>
          <w:sz w:val="24"/>
        </w:rPr>
        <w:t>理人</w:t>
      </w:r>
      <w:bookmarkEnd w:id="786"/>
    </w:p>
    <w:p>
      <w:pPr>
        <w:spacing w:line="560" w:lineRule="exact"/>
        <w:ind w:firstLine="480" w:firstLineChars="200"/>
        <w:rPr>
          <w:rFonts w:ascii="宋体" w:hAnsi="宋体" w:cs="宋体"/>
          <w:color w:val="000000"/>
          <w:sz w:val="24"/>
        </w:rPr>
      </w:pPr>
      <w:r>
        <w:rPr>
          <w:rFonts w:hint="eastAsia" w:ascii="宋体" w:hAnsi="宋体" w:cs="宋体"/>
          <w:color w:val="000000"/>
          <w:sz w:val="24"/>
        </w:rPr>
        <w:t>4.1监理人的一般规定</w:t>
      </w:r>
    </w:p>
    <w:p>
      <w:pPr>
        <w:spacing w:line="560" w:lineRule="exact"/>
        <w:ind w:firstLine="480" w:firstLineChars="200"/>
        <w:rPr>
          <w:rFonts w:ascii="宋体" w:hAnsi="宋体" w:cs="宋体"/>
          <w:sz w:val="24"/>
        </w:rPr>
      </w:pPr>
      <w:r>
        <w:rPr>
          <w:rFonts w:hint="eastAsia" w:ascii="宋体" w:hAnsi="宋体" w:cs="宋体"/>
          <w:color w:val="000000"/>
          <w:sz w:val="24"/>
        </w:rPr>
        <w:t>关于监理</w:t>
      </w:r>
      <w:r>
        <w:rPr>
          <w:rFonts w:hint="eastAsia" w:ascii="宋体" w:hAnsi="宋体" w:cs="宋体"/>
          <w:sz w:val="24"/>
        </w:rPr>
        <w:t>人的监理内容</w:t>
      </w:r>
      <w:r>
        <w:rPr>
          <w:rFonts w:hint="eastAsia" w:ascii="宋体" w:hAnsi="宋体" w:cs="宋体"/>
          <w:sz w:val="24"/>
          <w:u w:val="single"/>
        </w:rPr>
        <w:t>：按监理合同执行</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关于监理人的监理权限</w:t>
      </w:r>
      <w:r>
        <w:rPr>
          <w:rFonts w:hint="eastAsia" w:ascii="宋体" w:hAnsi="宋体" w:cs="宋体"/>
          <w:sz w:val="24"/>
          <w:u w:val="single"/>
        </w:rPr>
        <w:t>：按监理合同执行</w:t>
      </w:r>
      <w:r>
        <w:rPr>
          <w:rFonts w:hint="eastAsia" w:ascii="宋体" w:hAnsi="宋体" w:cs="宋体"/>
          <w:sz w:val="24"/>
        </w:rPr>
        <w:t xml:space="preserve">。       </w:t>
      </w:r>
    </w:p>
    <w:p>
      <w:pPr>
        <w:spacing w:line="560" w:lineRule="exact"/>
        <w:ind w:firstLine="480" w:firstLineChars="200"/>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：发包人提供监理人的办公场所，监理人的办公设备及生活用房由监理人自行解决。</w:t>
      </w:r>
    </w:p>
    <w:p>
      <w:pPr>
        <w:spacing w:line="560" w:lineRule="exact"/>
        <w:ind w:firstLine="480" w:firstLineChars="200"/>
        <w:rPr>
          <w:rFonts w:ascii="宋体" w:hAnsi="宋体" w:cs="宋体"/>
          <w:color w:val="000000"/>
          <w:sz w:val="24"/>
        </w:rPr>
      </w:pPr>
      <w:r>
        <w:rPr>
          <w:rFonts w:hint="eastAsia" w:ascii="宋体" w:hAnsi="宋体" w:cs="宋体"/>
          <w:color w:val="000000"/>
          <w:sz w:val="24"/>
        </w:rPr>
        <w:t>4.2 监理人员</w:t>
      </w:r>
    </w:p>
    <w:p>
      <w:pPr>
        <w:spacing w:line="560" w:lineRule="exact"/>
        <w:ind w:firstLine="480" w:firstLineChars="200"/>
        <w:rPr>
          <w:rFonts w:ascii="宋体" w:hAnsi="宋体" w:cs="宋体"/>
          <w:sz w:val="24"/>
        </w:rPr>
      </w:pPr>
      <w:r>
        <w:rPr>
          <w:rFonts w:hint="eastAsia" w:ascii="宋体" w:hAnsi="宋体" w:cs="宋体"/>
          <w:color w:val="000000"/>
          <w:sz w:val="24"/>
        </w:rPr>
        <w:t>总监理</w:t>
      </w:r>
      <w:r>
        <w:rPr>
          <w:rFonts w:hint="eastAsia" w:ascii="宋体" w:hAnsi="宋体" w:cs="宋体"/>
          <w:sz w:val="24"/>
        </w:rPr>
        <w:t>工程师：</w:t>
      </w:r>
    </w:p>
    <w:p>
      <w:pPr>
        <w:spacing w:line="560" w:lineRule="exact"/>
        <w:ind w:firstLine="480" w:firstLineChars="200"/>
        <w:rPr>
          <w:rFonts w:ascii="宋体" w:hAnsi="宋体" w:cs="宋体"/>
          <w:sz w:val="24"/>
        </w:rPr>
      </w:pPr>
      <w:r>
        <w:rPr>
          <w:rFonts w:hint="eastAsia" w:ascii="宋体" w:hAnsi="宋体" w:cs="宋体"/>
          <w:sz w:val="24"/>
        </w:rPr>
        <w:t>关于监理人的其他约定：</w:t>
      </w:r>
      <w:r>
        <w:rPr>
          <w:rFonts w:hint="eastAsia" w:ascii="宋体" w:hAnsi="宋体" w:cs="宋体"/>
          <w:sz w:val="24"/>
          <w:u w:val="single"/>
        </w:rPr>
        <w:t>按监理合同执行。</w:t>
      </w:r>
    </w:p>
    <w:p>
      <w:pPr>
        <w:spacing w:line="560" w:lineRule="exact"/>
        <w:ind w:firstLine="480" w:firstLineChars="200"/>
        <w:rPr>
          <w:rFonts w:ascii="宋体" w:hAnsi="宋体" w:cs="宋体"/>
          <w:color w:val="000000"/>
          <w:sz w:val="24"/>
        </w:rPr>
      </w:pPr>
      <w:r>
        <w:rPr>
          <w:rFonts w:hint="eastAsia" w:ascii="宋体" w:hAnsi="宋体" w:cs="宋体"/>
          <w:color w:val="000000"/>
          <w:sz w:val="24"/>
        </w:rPr>
        <w:t>4.4 商定或确定</w:t>
      </w:r>
    </w:p>
    <w:p>
      <w:pPr>
        <w:spacing w:line="560" w:lineRule="exact"/>
        <w:ind w:firstLine="480" w:firstLineChars="200"/>
        <w:rPr>
          <w:rFonts w:ascii="宋体" w:hAnsi="宋体" w:cs="宋体"/>
          <w:color w:val="000000"/>
          <w:sz w:val="24"/>
        </w:rPr>
      </w:pPr>
      <w:bookmarkStart w:id="798" w:name="_Toc267251418"/>
      <w:r>
        <w:rPr>
          <w:rFonts w:hint="eastAsia" w:ascii="宋体" w:hAnsi="宋体" w:cs="宋体"/>
          <w:color w:val="000000"/>
          <w:sz w:val="24"/>
        </w:rPr>
        <w:t>在发包人和承包人不能通过协商达成一致意见时，发包人授权监理人对以下事项进行确定：</w:t>
      </w:r>
    </w:p>
    <w:p>
      <w:pPr>
        <w:autoSpaceDE w:val="0"/>
        <w:autoSpaceDN w:val="0"/>
        <w:adjustRightInd w:val="0"/>
        <w:spacing w:line="560" w:lineRule="exact"/>
        <w:ind w:firstLine="480" w:firstLineChars="200"/>
        <w:rPr>
          <w:rFonts w:ascii="宋体" w:hAnsi="宋体" w:cs="宋体"/>
          <w:color w:val="000000"/>
          <w:sz w:val="24"/>
        </w:rPr>
      </w:pPr>
      <w:r>
        <w:rPr>
          <w:rFonts w:hint="eastAsia" w:ascii="宋体" w:hAnsi="宋体" w:cs="宋体"/>
          <w:color w:val="000000"/>
          <w:sz w:val="24"/>
        </w:rPr>
        <w:t>（1）</w:t>
      </w:r>
      <w:r>
        <w:rPr>
          <w:rFonts w:hint="eastAsia" w:ascii="宋体" w:hAnsi="宋体" w:cs="宋体"/>
          <w:color w:val="000000"/>
          <w:sz w:val="24"/>
          <w:u w:val="single"/>
        </w:rPr>
        <w:t xml:space="preserve">   另行协商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bookmarkStart w:id="799" w:name="_Toc489620089"/>
      <w:r>
        <w:rPr>
          <w:rFonts w:hint="eastAsia" w:ascii="宋体" w:hAnsi="宋体" w:cs="宋体"/>
          <w:color w:val="000000"/>
          <w:sz w:val="24"/>
        </w:rPr>
        <w:t>5</w:t>
      </w:r>
      <w:bookmarkEnd w:id="798"/>
      <w:bookmarkStart w:id="800" w:name="_Toc292559872"/>
      <w:bookmarkStart w:id="801" w:name="_Toc297048349"/>
      <w:bookmarkStart w:id="802" w:name="_Toc297120463"/>
      <w:bookmarkStart w:id="803" w:name="_Toc296890991"/>
      <w:bookmarkStart w:id="804" w:name="_Toc296944502"/>
      <w:bookmarkStart w:id="805" w:name="_Toc296347162"/>
      <w:bookmarkStart w:id="806" w:name="_Toc296891203"/>
      <w:bookmarkStart w:id="807" w:name="_Toc292559367"/>
      <w:bookmarkStart w:id="808" w:name="_Toc296503163"/>
      <w:bookmarkStart w:id="809" w:name="_Toc296346664"/>
      <w:r>
        <w:rPr>
          <w:rFonts w:hint="eastAsia" w:ascii="宋体" w:hAnsi="宋体" w:cs="宋体"/>
          <w:color w:val="000000"/>
          <w:sz w:val="24"/>
        </w:rPr>
        <w:t>. 工程质量</w:t>
      </w:r>
      <w:bookmarkEnd w:id="799"/>
    </w:p>
    <w:p>
      <w:pPr>
        <w:spacing w:line="560" w:lineRule="exact"/>
        <w:ind w:firstLine="480" w:firstLineChars="200"/>
        <w:rPr>
          <w:rFonts w:ascii="宋体" w:hAnsi="宋体" w:cs="宋体"/>
          <w:color w:val="000000"/>
          <w:sz w:val="24"/>
        </w:rPr>
      </w:pPr>
      <w:bookmarkStart w:id="810" w:name="_Toc318581164"/>
      <w:bookmarkStart w:id="811" w:name="_Toc297123496"/>
      <w:bookmarkStart w:id="812" w:name="_Toc300934949"/>
      <w:bookmarkStart w:id="813" w:name="_Toc297216155"/>
      <w:bookmarkStart w:id="814" w:name="_Toc304295527"/>
      <w:bookmarkStart w:id="815" w:name="_Toc303539106"/>
      <w:bookmarkStart w:id="816" w:name="_Toc312677997"/>
      <w:r>
        <w:rPr>
          <w:rFonts w:hint="eastAsia" w:ascii="宋体" w:hAnsi="宋体" w:cs="宋体"/>
          <w:color w:val="000000"/>
          <w:sz w:val="24"/>
        </w:rPr>
        <w:t>5.1 质量要求</w:t>
      </w:r>
    </w:p>
    <w:p>
      <w:pPr>
        <w:spacing w:line="560" w:lineRule="exact"/>
        <w:ind w:firstLine="480" w:firstLineChars="200"/>
        <w:rPr>
          <w:rFonts w:ascii="宋体" w:hAnsi="宋体" w:cs="宋体"/>
          <w:sz w:val="24"/>
          <w:u w:val="single"/>
        </w:rPr>
      </w:pPr>
      <w:r>
        <w:rPr>
          <w:rFonts w:hint="eastAsia" w:ascii="宋体" w:hAnsi="宋体" w:cs="宋体"/>
          <w:color w:val="000000"/>
          <w:sz w:val="24"/>
        </w:rPr>
        <w:t>5.1.1 特</w:t>
      </w:r>
      <w:r>
        <w:rPr>
          <w:rFonts w:hint="eastAsia" w:ascii="宋体" w:hAnsi="宋体" w:cs="宋体"/>
          <w:sz w:val="24"/>
        </w:rPr>
        <w:t>殊质量标准和要求：</w:t>
      </w:r>
      <w:r>
        <w:rPr>
          <w:rFonts w:hint="eastAsia" w:ascii="宋体" w:hAnsi="宋体" w:cs="宋体"/>
          <w:sz w:val="24"/>
          <w:u w:val="single"/>
        </w:rPr>
        <w:t>合格</w:t>
      </w:r>
    </w:p>
    <w:p>
      <w:pPr>
        <w:spacing w:line="560" w:lineRule="exact"/>
        <w:ind w:firstLine="480" w:firstLineChars="200"/>
        <w:rPr>
          <w:rFonts w:ascii="宋体" w:hAnsi="宋体" w:cs="宋体"/>
          <w:sz w:val="24"/>
        </w:rPr>
      </w:pPr>
      <w:r>
        <w:rPr>
          <w:rFonts w:hint="eastAsia" w:ascii="宋体" w:hAnsi="宋体" w:cs="宋体"/>
          <w:sz w:val="24"/>
        </w:rPr>
        <w:t>5.3 隐蔽工程检查</w:t>
      </w:r>
    </w:p>
    <w:p>
      <w:pPr>
        <w:spacing w:line="560" w:lineRule="exact"/>
        <w:ind w:firstLine="480" w:firstLineChars="200"/>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书面申报材料后48小时内</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pPr>
        <w:spacing w:line="560" w:lineRule="exact"/>
        <w:ind w:firstLine="480" w:firstLineChars="200"/>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pPr>
        <w:spacing w:line="560" w:lineRule="exact"/>
        <w:ind w:firstLine="480" w:firstLineChars="200"/>
        <w:rPr>
          <w:rFonts w:ascii="宋体" w:hAnsi="宋体" w:cs="宋体"/>
          <w:color w:val="000000"/>
          <w:sz w:val="24"/>
        </w:rPr>
      </w:pPr>
      <w:bookmarkStart w:id="817" w:name="_Toc489620090"/>
      <w:r>
        <w:rPr>
          <w:rFonts w:hint="eastAsia" w:ascii="宋体" w:hAnsi="宋体" w:cs="宋体"/>
          <w:color w:val="000000"/>
          <w:sz w:val="24"/>
        </w:rPr>
        <w:t>6. 安全文明施工与环境保护</w:t>
      </w:r>
      <w:bookmarkEnd w:id="817"/>
    </w:p>
    <w:bookmarkEnd w:id="810"/>
    <w:bookmarkEnd w:id="811"/>
    <w:bookmarkEnd w:id="812"/>
    <w:bookmarkEnd w:id="813"/>
    <w:bookmarkEnd w:id="814"/>
    <w:bookmarkEnd w:id="815"/>
    <w:bookmarkEnd w:id="816"/>
    <w:p>
      <w:pPr>
        <w:spacing w:line="560" w:lineRule="exact"/>
        <w:ind w:firstLine="480" w:firstLineChars="200"/>
        <w:rPr>
          <w:rFonts w:ascii="宋体" w:hAnsi="宋体" w:cs="宋体"/>
          <w:color w:val="000000"/>
          <w:sz w:val="24"/>
        </w:rPr>
      </w:pPr>
      <w:r>
        <w:rPr>
          <w:rFonts w:hint="eastAsia" w:ascii="宋体" w:hAnsi="宋体" w:cs="宋体"/>
          <w:color w:val="000000"/>
          <w:sz w:val="24"/>
        </w:rPr>
        <w:t>6.1安全文明施工</w:t>
      </w:r>
    </w:p>
    <w:p>
      <w:pPr>
        <w:spacing w:line="560" w:lineRule="exact"/>
        <w:ind w:firstLine="480" w:firstLineChars="200"/>
        <w:rPr>
          <w:rFonts w:ascii="宋体" w:hAnsi="宋体" w:cs="宋体"/>
          <w:sz w:val="24"/>
        </w:rPr>
      </w:pPr>
      <w:r>
        <w:rPr>
          <w:rFonts w:hint="eastAsia" w:ascii="宋体" w:hAnsi="宋体" w:cs="宋体"/>
          <w:color w:val="000000"/>
          <w:sz w:val="24"/>
        </w:rPr>
        <w:t>6.1.1 项目</w:t>
      </w:r>
      <w:r>
        <w:rPr>
          <w:rFonts w:hint="eastAsia" w:ascii="宋体" w:hAnsi="宋体" w:cs="宋体"/>
          <w:sz w:val="24"/>
        </w:rPr>
        <w:t>安全生产的达标目标及相应事项的约定：</w:t>
      </w:r>
    </w:p>
    <w:p>
      <w:pPr>
        <w:autoSpaceDE w:val="0"/>
        <w:autoSpaceDN w:val="0"/>
        <w:adjustRightInd w:val="0"/>
        <w:spacing w:line="560" w:lineRule="exact"/>
        <w:ind w:firstLine="480" w:firstLineChars="200"/>
        <w:rPr>
          <w:rFonts w:ascii="宋体" w:hAnsi="宋体" w:cs="宋体"/>
          <w:sz w:val="24"/>
          <w:u w:val="single"/>
        </w:rPr>
      </w:pPr>
      <w:r>
        <w:rPr>
          <w:rFonts w:hint="eastAsia" w:ascii="宋体" w:hAnsi="宋体" w:cs="宋体"/>
          <w:sz w:val="24"/>
          <w:u w:val="single"/>
        </w:rPr>
        <w:t>（1）承包人在施工期间须针对周边情况做好防尘降噪工作，应遵守《中华人民共和国安全生产法》及地方政府和有关部门对施工场地交通、噪声、扬尘、污水、现场环境卫生和场外污染等管理规定并办理有关手续。</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u w:val="single"/>
        </w:rPr>
        <w:t>（2）承包人须做好文明施工、安全生产，在施工过程中应完善文明施工措施，在施工过程中造成的安全事故由承包人承担。</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6.1.4 关于治安保卫的特别约定：</w:t>
      </w:r>
      <w:r>
        <w:rPr>
          <w:rFonts w:hint="eastAsia" w:ascii="宋体" w:hAnsi="宋体" w:cs="宋体"/>
          <w:sz w:val="24"/>
          <w:u w:val="single"/>
        </w:rPr>
        <w:t>承包人应采取必要的治安保卫措施，并承担因承包人因该项工作不力而造成的相应损失。</w:t>
      </w:r>
    </w:p>
    <w:p>
      <w:pPr>
        <w:spacing w:line="560" w:lineRule="exact"/>
        <w:ind w:firstLine="480" w:firstLineChars="200"/>
        <w:rPr>
          <w:rFonts w:ascii="宋体" w:hAnsi="宋体" w:cs="宋体"/>
          <w:sz w:val="24"/>
          <w:u w:val="single"/>
        </w:rPr>
      </w:pPr>
      <w:r>
        <w:rPr>
          <w:rFonts w:hint="eastAsia" w:ascii="宋体" w:hAnsi="宋体" w:cs="宋体"/>
          <w:sz w:val="24"/>
        </w:rPr>
        <w:t>关于编制施工场地治安管理计划的约定：</w:t>
      </w:r>
      <w:r>
        <w:rPr>
          <w:rFonts w:hint="eastAsia" w:ascii="宋体" w:hAnsi="宋体" w:cs="宋体"/>
          <w:sz w:val="24"/>
          <w:u w:val="single"/>
        </w:rPr>
        <w:t>承包人应在开工7天内编制施工场地治安管理计划。</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6.1.5 文明施工合同当事人对文明施工的要求：</w:t>
      </w:r>
      <w:r>
        <w:rPr>
          <w:rFonts w:hint="eastAsia" w:ascii="宋体" w:hAnsi="宋体" w:cs="宋体"/>
          <w:sz w:val="24"/>
          <w:u w:val="single"/>
        </w:rPr>
        <w:t>按通用条款规定。</w:t>
      </w:r>
    </w:p>
    <w:p>
      <w:pPr>
        <w:spacing w:line="560" w:lineRule="exact"/>
        <w:ind w:firstLine="480" w:firstLineChars="200"/>
        <w:rPr>
          <w:rFonts w:ascii="宋体" w:hAnsi="宋体" w:cs="宋体"/>
          <w:sz w:val="24"/>
          <w:u w:val="single"/>
        </w:rPr>
      </w:pPr>
      <w:r>
        <w:rPr>
          <w:rFonts w:hint="eastAsia" w:ascii="宋体" w:hAnsi="宋体" w:cs="宋体"/>
          <w:sz w:val="24"/>
        </w:rPr>
        <w:t>6.1.6 关于安全文明施工费支付比例和支付期限的约定：</w:t>
      </w:r>
      <w:r>
        <w:rPr>
          <w:rFonts w:hint="eastAsia" w:ascii="宋体" w:hAnsi="宋体" w:cs="宋体"/>
          <w:sz w:val="24"/>
          <w:u w:val="single"/>
        </w:rPr>
        <w:t>除安全文明施工费支付比例及时间随工程款同步支付，其余规定按通用条款规定。</w:t>
      </w:r>
    </w:p>
    <w:p>
      <w:pPr>
        <w:spacing w:line="560" w:lineRule="exact"/>
        <w:ind w:firstLine="480" w:firstLineChars="200"/>
        <w:rPr>
          <w:rFonts w:ascii="宋体" w:hAnsi="宋体" w:cs="宋体"/>
          <w:color w:val="000000"/>
          <w:sz w:val="24"/>
        </w:rPr>
      </w:pPr>
      <w:bookmarkStart w:id="818" w:name="_Toc489620091"/>
      <w:r>
        <w:rPr>
          <w:rFonts w:hint="eastAsia" w:ascii="宋体" w:hAnsi="宋体" w:cs="宋体"/>
          <w:color w:val="000000"/>
          <w:sz w:val="24"/>
        </w:rPr>
        <w:t>7. 工期和进度</w:t>
      </w:r>
      <w:bookmarkEnd w:id="818"/>
    </w:p>
    <w:p>
      <w:pPr>
        <w:spacing w:line="560" w:lineRule="exact"/>
        <w:ind w:firstLine="480" w:firstLineChars="200"/>
        <w:rPr>
          <w:rFonts w:ascii="宋体" w:hAnsi="宋体" w:cs="宋体"/>
          <w:color w:val="000000"/>
          <w:sz w:val="24"/>
        </w:rPr>
      </w:pPr>
      <w:bookmarkStart w:id="819" w:name="_Toc297123514"/>
      <w:bookmarkStart w:id="820" w:name="_Toc312677479"/>
      <w:bookmarkStart w:id="821" w:name="_Toc312678005"/>
      <w:bookmarkStart w:id="822" w:name="_Toc297216173"/>
      <w:bookmarkStart w:id="823" w:name="_Toc304295541"/>
      <w:bookmarkStart w:id="824" w:name="_Toc300934966"/>
      <w:bookmarkStart w:id="825" w:name="_Toc303539123"/>
      <w:r>
        <w:rPr>
          <w:rFonts w:hint="eastAsia" w:ascii="宋体" w:hAnsi="宋体" w:cs="宋体"/>
          <w:color w:val="000000"/>
          <w:sz w:val="24"/>
        </w:rPr>
        <w:t>7.1 施工组织设计</w:t>
      </w:r>
    </w:p>
    <w:p>
      <w:pPr>
        <w:spacing w:line="560" w:lineRule="exact"/>
        <w:ind w:firstLine="480" w:firstLineChars="200"/>
        <w:rPr>
          <w:rFonts w:ascii="宋体" w:hAnsi="宋体" w:cs="宋体"/>
          <w:sz w:val="24"/>
        </w:rPr>
      </w:pPr>
      <w:r>
        <w:rPr>
          <w:rFonts w:hint="eastAsia" w:ascii="宋体" w:hAnsi="宋体" w:cs="宋体"/>
          <w:color w:val="000000"/>
          <w:sz w:val="24"/>
        </w:rPr>
        <w:t>7.1.1 合</w:t>
      </w:r>
      <w:r>
        <w:rPr>
          <w:rFonts w:hint="eastAsia" w:ascii="宋体" w:hAnsi="宋体" w:cs="宋体"/>
          <w:sz w:val="24"/>
        </w:rPr>
        <w:t>同当事人约定的施工组织设计应包括的其他内容：</w:t>
      </w:r>
      <w:r>
        <w:rPr>
          <w:rFonts w:hint="eastAsia" w:ascii="宋体" w:hAnsi="宋体" w:cs="宋体"/>
          <w:sz w:val="24"/>
          <w:u w:val="single"/>
        </w:rPr>
        <w:t>按通用条款规定。</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7.1.2 施工组织设计的提交和修改</w:t>
      </w:r>
    </w:p>
    <w:p>
      <w:pPr>
        <w:spacing w:line="560" w:lineRule="exact"/>
        <w:ind w:firstLine="480" w:firstLineChars="200"/>
        <w:rPr>
          <w:rFonts w:ascii="宋体" w:hAnsi="宋体" w:cs="宋体"/>
          <w:sz w:val="24"/>
          <w:u w:val="single"/>
        </w:rPr>
      </w:pPr>
      <w:r>
        <w:rPr>
          <w:rFonts w:hint="eastAsia" w:ascii="宋体" w:hAnsi="宋体" w:cs="宋体"/>
          <w:sz w:val="24"/>
        </w:rPr>
        <w:t>承包人提交详细施工组织设计的期限的约定：</w:t>
      </w:r>
      <w:r>
        <w:rPr>
          <w:rFonts w:hint="eastAsia" w:ascii="宋体" w:hAnsi="宋体" w:cs="宋体"/>
          <w:sz w:val="24"/>
          <w:u w:val="single"/>
        </w:rPr>
        <w:t>按通用条款规定。</w:t>
      </w:r>
    </w:p>
    <w:p>
      <w:pPr>
        <w:spacing w:line="560" w:lineRule="exact"/>
        <w:ind w:firstLine="480" w:firstLineChars="200"/>
        <w:rPr>
          <w:rFonts w:ascii="宋体" w:hAnsi="宋体" w:cs="宋体"/>
          <w:sz w:val="24"/>
          <w:u w:val="single"/>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按通用条款规定。</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7.2 施工进度计划</w:t>
      </w:r>
    </w:p>
    <w:p>
      <w:pPr>
        <w:spacing w:line="560" w:lineRule="exact"/>
        <w:ind w:firstLine="480" w:firstLineChars="200"/>
        <w:rPr>
          <w:rFonts w:ascii="宋体" w:hAnsi="宋体" w:cs="宋体"/>
          <w:sz w:val="24"/>
        </w:rPr>
      </w:pPr>
      <w:r>
        <w:rPr>
          <w:rFonts w:hint="eastAsia" w:ascii="宋体" w:hAnsi="宋体" w:cs="宋体"/>
          <w:sz w:val="24"/>
        </w:rPr>
        <w:t>7.2.2 施工进度计划的修订</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按通用条款规定。</w:t>
      </w:r>
    </w:p>
    <w:p>
      <w:pPr>
        <w:spacing w:line="560" w:lineRule="exact"/>
        <w:ind w:firstLine="480" w:firstLineChars="200"/>
        <w:rPr>
          <w:rFonts w:ascii="宋体" w:hAnsi="宋体" w:cs="宋体"/>
          <w:sz w:val="24"/>
        </w:rPr>
      </w:pPr>
      <w:r>
        <w:rPr>
          <w:rFonts w:hint="eastAsia" w:ascii="宋体" w:hAnsi="宋体" w:cs="宋体"/>
          <w:sz w:val="24"/>
        </w:rPr>
        <w:t>7.3 开工</w:t>
      </w:r>
    </w:p>
    <w:p>
      <w:pPr>
        <w:spacing w:line="560" w:lineRule="exact"/>
        <w:ind w:firstLine="480" w:firstLineChars="200"/>
        <w:rPr>
          <w:rFonts w:ascii="宋体" w:hAnsi="宋体" w:cs="宋体"/>
          <w:sz w:val="24"/>
        </w:rPr>
      </w:pPr>
      <w:r>
        <w:rPr>
          <w:rFonts w:hint="eastAsia" w:ascii="宋体" w:hAnsi="宋体" w:cs="宋体"/>
          <w:sz w:val="24"/>
        </w:rPr>
        <w:t>7.3.1 开工准备</w:t>
      </w:r>
    </w:p>
    <w:p>
      <w:pPr>
        <w:spacing w:line="560" w:lineRule="exact"/>
        <w:ind w:firstLine="480" w:firstLineChars="200"/>
        <w:rPr>
          <w:rFonts w:ascii="宋体" w:hAnsi="宋体" w:cs="宋体"/>
          <w:sz w:val="24"/>
          <w:u w:val="single"/>
        </w:rPr>
      </w:pPr>
      <w:r>
        <w:rPr>
          <w:rFonts w:hint="eastAsia" w:ascii="宋体" w:hAnsi="宋体" w:cs="宋体"/>
          <w:sz w:val="24"/>
        </w:rPr>
        <w:t>关于承包人提交工程开工报审表的期限：</w:t>
      </w:r>
      <w:r>
        <w:rPr>
          <w:rFonts w:hint="eastAsia" w:ascii="宋体" w:hAnsi="宋体" w:cs="宋体"/>
          <w:sz w:val="24"/>
          <w:u w:val="single"/>
        </w:rPr>
        <w:t>按通用条款规定。</w:t>
      </w:r>
    </w:p>
    <w:p>
      <w:pPr>
        <w:spacing w:line="560" w:lineRule="exact"/>
        <w:ind w:firstLine="480" w:firstLineChars="200"/>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按发包人要求执行。</w:t>
      </w:r>
    </w:p>
    <w:p>
      <w:pPr>
        <w:spacing w:line="560" w:lineRule="exact"/>
        <w:ind w:firstLine="480" w:firstLineChars="200"/>
        <w:rPr>
          <w:rFonts w:ascii="宋体" w:hAnsi="宋体" w:cs="宋体"/>
          <w:color w:val="000000"/>
          <w:sz w:val="24"/>
        </w:rPr>
      </w:pPr>
      <w:r>
        <w:rPr>
          <w:rFonts w:hint="eastAsia" w:ascii="宋体" w:hAnsi="宋体" w:cs="宋体"/>
          <w:color w:val="000000"/>
          <w:sz w:val="24"/>
        </w:rPr>
        <w:t>7.3.2开工通知</w:t>
      </w:r>
    </w:p>
    <w:bookmarkEnd w:id="819"/>
    <w:bookmarkEnd w:id="820"/>
    <w:bookmarkEnd w:id="821"/>
    <w:bookmarkEnd w:id="822"/>
    <w:bookmarkEnd w:id="823"/>
    <w:bookmarkEnd w:id="824"/>
    <w:bookmarkEnd w:id="825"/>
    <w:p>
      <w:pPr>
        <w:spacing w:line="560" w:lineRule="exact"/>
        <w:ind w:firstLine="480" w:firstLineChars="200"/>
        <w:rPr>
          <w:rFonts w:ascii="宋体" w:hAnsi="宋体" w:cs="宋体"/>
          <w:color w:val="000000"/>
          <w:sz w:val="24"/>
        </w:rPr>
      </w:pPr>
      <w:r>
        <w:rPr>
          <w:rFonts w:hint="eastAsia" w:ascii="宋体" w:hAnsi="宋体" w:cs="宋体"/>
          <w:color w:val="000000"/>
          <w:sz w:val="24"/>
        </w:rPr>
        <w:t>建设单位、施工单位应做好开工前的准备工作，不论工程规模大小, 一律由建设单位向施工单位下达《工程开工通知书》后,方可进场施工，《工程开工通知书》需及时报相关单位备案登记。</w:t>
      </w:r>
    </w:p>
    <w:p>
      <w:pPr>
        <w:spacing w:line="560" w:lineRule="exact"/>
        <w:ind w:firstLine="480" w:firstLineChars="200"/>
        <w:rPr>
          <w:rFonts w:ascii="宋体" w:hAnsi="宋体" w:cs="宋体"/>
          <w:color w:val="000000"/>
          <w:sz w:val="24"/>
        </w:rPr>
      </w:pPr>
      <w:r>
        <w:rPr>
          <w:rFonts w:hint="eastAsia" w:ascii="宋体" w:hAnsi="宋体" w:cs="宋体"/>
          <w:color w:val="000000"/>
          <w:sz w:val="24"/>
        </w:rPr>
        <w:t>7.4 测量放线</w:t>
      </w:r>
    </w:p>
    <w:p>
      <w:pPr>
        <w:spacing w:line="560" w:lineRule="exact"/>
        <w:ind w:firstLine="480" w:firstLineChars="200"/>
        <w:rPr>
          <w:rFonts w:ascii="宋体" w:hAnsi="宋体" w:cs="宋体"/>
          <w:sz w:val="24"/>
          <w:u w:val="single"/>
        </w:rPr>
      </w:pPr>
      <w:r>
        <w:rPr>
          <w:rFonts w:hint="eastAsia" w:ascii="宋体" w:hAnsi="宋体" w:cs="宋体"/>
          <w:color w:val="000000"/>
          <w:sz w:val="24"/>
        </w:rPr>
        <w:t>7.4.1发包</w:t>
      </w:r>
      <w:r>
        <w:rPr>
          <w:rFonts w:hint="eastAsia" w:ascii="宋体" w:hAnsi="宋体" w:cs="宋体"/>
          <w:sz w:val="24"/>
        </w:rPr>
        <w:t>人通过监理人向承包人提供测量基准点、基准线和水准点及其书面资料的期限：</w:t>
      </w:r>
      <w:r>
        <w:rPr>
          <w:rFonts w:hint="eastAsia" w:ascii="宋体" w:hAnsi="宋体" w:cs="宋体"/>
          <w:sz w:val="24"/>
          <w:u w:val="single"/>
        </w:rPr>
        <w:t xml:space="preserve">  / </w:t>
      </w:r>
      <w:r>
        <w:rPr>
          <w:rFonts w:hint="eastAsia" w:ascii="宋体" w:hAnsi="宋体" w:cs="宋体"/>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7</w:t>
      </w:r>
      <w:bookmarkStart w:id="826" w:name="_Toc297123516"/>
      <w:bookmarkStart w:id="827" w:name="_Toc312677484"/>
      <w:bookmarkStart w:id="828" w:name="_Toc300934968"/>
      <w:bookmarkStart w:id="829" w:name="_Toc304295546"/>
      <w:bookmarkStart w:id="830" w:name="_Toc312678010"/>
      <w:bookmarkStart w:id="831" w:name="_Toc297216175"/>
      <w:bookmarkStart w:id="832" w:name="_Toc303539125"/>
      <w:r>
        <w:rPr>
          <w:rFonts w:hint="eastAsia" w:ascii="宋体" w:hAnsi="宋体" w:cs="宋体"/>
          <w:color w:val="000000"/>
          <w:sz w:val="24"/>
        </w:rPr>
        <w:t>.5 工期延误</w:t>
      </w:r>
    </w:p>
    <w:bookmarkEnd w:id="826"/>
    <w:bookmarkEnd w:id="827"/>
    <w:bookmarkEnd w:id="828"/>
    <w:bookmarkEnd w:id="829"/>
    <w:bookmarkEnd w:id="830"/>
    <w:bookmarkEnd w:id="831"/>
    <w:bookmarkEnd w:id="832"/>
    <w:p>
      <w:pPr>
        <w:spacing w:line="560" w:lineRule="exact"/>
        <w:ind w:firstLine="480" w:firstLineChars="200"/>
        <w:rPr>
          <w:rFonts w:ascii="宋体" w:hAnsi="宋体" w:cs="宋体"/>
          <w:sz w:val="24"/>
        </w:rPr>
      </w:pPr>
      <w:r>
        <w:rPr>
          <w:rFonts w:hint="eastAsia" w:ascii="宋体" w:hAnsi="宋体" w:cs="宋体"/>
          <w:color w:val="000000"/>
          <w:sz w:val="24"/>
        </w:rPr>
        <w:t>（7）因发包人原</w:t>
      </w:r>
      <w:r>
        <w:rPr>
          <w:rFonts w:hint="eastAsia" w:ascii="宋体" w:hAnsi="宋体" w:cs="宋体"/>
          <w:sz w:val="24"/>
        </w:rPr>
        <w:t>因导致工期延误的其他情形：</w:t>
      </w:r>
      <w:r>
        <w:rPr>
          <w:rFonts w:hint="eastAsia" w:ascii="宋体" w:hAnsi="宋体" w:cs="宋体"/>
          <w:sz w:val="24"/>
          <w:u w:val="single"/>
        </w:rPr>
        <w:t>工程范围内的征地、清障工作滞后的。</w:t>
      </w:r>
    </w:p>
    <w:p>
      <w:pPr>
        <w:spacing w:line="560" w:lineRule="exact"/>
        <w:ind w:firstLine="480" w:firstLineChars="200"/>
        <w:rPr>
          <w:rFonts w:ascii="宋体" w:hAnsi="宋体" w:cs="宋体"/>
          <w:sz w:val="24"/>
        </w:rPr>
      </w:pPr>
      <w:r>
        <w:rPr>
          <w:rFonts w:hint="eastAsia" w:ascii="宋体" w:hAnsi="宋体" w:cs="宋体"/>
          <w:sz w:val="24"/>
        </w:rPr>
        <w:t>7</w:t>
      </w:r>
      <w:bookmarkStart w:id="833" w:name="_Toc312677486"/>
      <w:bookmarkStart w:id="834" w:name="_Toc312678012"/>
      <w:bookmarkStart w:id="835" w:name="_Toc318581169"/>
      <w:bookmarkStart w:id="836" w:name="_Toc297123518"/>
      <w:bookmarkStart w:id="837" w:name="_Toc297216177"/>
      <w:bookmarkStart w:id="838" w:name="_Toc304295548"/>
      <w:bookmarkStart w:id="839" w:name="_Toc300934970"/>
      <w:bookmarkStart w:id="840" w:name="_Toc303539127"/>
      <w:r>
        <w:rPr>
          <w:rFonts w:hint="eastAsia" w:ascii="宋体" w:hAnsi="宋体" w:cs="宋体"/>
          <w:sz w:val="24"/>
        </w:rPr>
        <w:t>.5.2 因承包人原因导致工期延误</w:t>
      </w:r>
    </w:p>
    <w:bookmarkEnd w:id="833"/>
    <w:bookmarkEnd w:id="834"/>
    <w:bookmarkEnd w:id="835"/>
    <w:p>
      <w:pPr>
        <w:spacing w:line="560" w:lineRule="exact"/>
        <w:ind w:firstLine="480" w:firstLineChars="200"/>
        <w:rPr>
          <w:rFonts w:ascii="宋体" w:hAnsi="宋体" w:cs="宋体"/>
          <w:sz w:val="24"/>
          <w:u w:val="single"/>
        </w:rPr>
      </w:pPr>
      <w:r>
        <w:rPr>
          <w:rFonts w:hint="eastAsia" w:ascii="宋体" w:hAnsi="宋体" w:cs="宋体"/>
          <w:sz w:val="24"/>
        </w:rPr>
        <w:t>因</w:t>
      </w:r>
      <w:bookmarkStart w:id="841" w:name="_Toc312677487"/>
      <w:bookmarkStart w:id="842" w:name="_Toc318581170"/>
      <w:bookmarkStart w:id="843" w:name="_Toc312678013"/>
      <w:r>
        <w:rPr>
          <w:rFonts w:hint="eastAsia" w:ascii="宋体" w:hAnsi="宋体" w:cs="宋体"/>
          <w:sz w:val="24"/>
        </w:rPr>
        <w:t>承包人原因造成工期延误，逾期竣工违约金的计算方法为：</w:t>
      </w:r>
    </w:p>
    <w:bookmarkEnd w:id="836"/>
    <w:bookmarkEnd w:id="837"/>
    <w:bookmarkEnd w:id="838"/>
    <w:bookmarkEnd w:id="839"/>
    <w:bookmarkEnd w:id="840"/>
    <w:bookmarkEnd w:id="841"/>
    <w:bookmarkEnd w:id="842"/>
    <w:bookmarkEnd w:id="843"/>
    <w:p>
      <w:pPr>
        <w:spacing w:line="560" w:lineRule="exact"/>
        <w:ind w:firstLine="480" w:firstLineChars="200"/>
        <w:rPr>
          <w:rFonts w:ascii="宋体" w:hAnsi="宋体" w:cs="宋体"/>
          <w:sz w:val="24"/>
        </w:rPr>
      </w:pPr>
      <w:bookmarkStart w:id="844" w:name="EBdfe606cd8ccd4699b7a18ddda8a624f7"/>
      <w:r>
        <w:rPr>
          <w:rFonts w:hint="eastAsia" w:ascii="宋体" w:hAnsi="宋体" w:cs="宋体"/>
          <w:sz w:val="24"/>
          <w:u w:val="single"/>
        </w:rPr>
        <w:t>1)、因承包人原因工期延误的，按万分之五/天向发包人支付延期违约金，得到发包人认可的延期除外。</w:t>
      </w:r>
    </w:p>
    <w:bookmarkEnd w:id="844"/>
    <w:p>
      <w:pPr>
        <w:spacing w:line="560" w:lineRule="exact"/>
        <w:ind w:firstLine="480" w:firstLineChars="200"/>
        <w:rPr>
          <w:rFonts w:ascii="宋体" w:hAnsi="宋体" w:cs="宋体"/>
          <w:sz w:val="24"/>
          <w:u w:val="single"/>
        </w:rPr>
      </w:pPr>
      <w:r>
        <w:rPr>
          <w:rFonts w:hint="eastAsia" w:ascii="宋体" w:hAnsi="宋体" w:cs="宋体"/>
          <w:sz w:val="24"/>
        </w:rPr>
        <w:t>因承包人原因造成工期延误，逾</w:t>
      </w:r>
      <w:bookmarkStart w:id="845" w:name="_Toc312678014"/>
      <w:bookmarkStart w:id="846" w:name="_Toc318581171"/>
      <w:r>
        <w:rPr>
          <w:rFonts w:hint="eastAsia" w:ascii="宋体" w:hAnsi="宋体" w:cs="宋体"/>
          <w:sz w:val="24"/>
        </w:rPr>
        <w:t>期竣工违约金的上限：</w:t>
      </w:r>
      <w:bookmarkEnd w:id="845"/>
      <w:bookmarkEnd w:id="846"/>
      <w:bookmarkStart w:id="847" w:name="EB4bc031e76c9044ad80b935ac0132d446"/>
      <w:r>
        <w:rPr>
          <w:rFonts w:hint="eastAsia" w:ascii="宋体" w:hAnsi="宋体" w:cs="宋体"/>
          <w:sz w:val="24"/>
          <w:u w:val="single"/>
        </w:rPr>
        <w:t>合同总价的5％</w:t>
      </w:r>
      <w:bookmarkEnd w:id="847"/>
      <w:r>
        <w:rPr>
          <w:rFonts w:hint="eastAsia" w:ascii="宋体" w:hAnsi="宋体" w:cs="宋体"/>
          <w:sz w:val="24"/>
          <w:u w:val="single"/>
        </w:rPr>
        <w:t>。</w:t>
      </w:r>
    </w:p>
    <w:p>
      <w:pPr>
        <w:spacing w:line="560" w:lineRule="exact"/>
        <w:ind w:firstLine="480" w:firstLineChars="200"/>
        <w:rPr>
          <w:rFonts w:ascii="宋体" w:hAnsi="宋体" w:cs="宋体"/>
          <w:sz w:val="24"/>
        </w:rPr>
      </w:pPr>
      <w:r>
        <w:rPr>
          <w:rFonts w:hint="eastAsia" w:ascii="宋体" w:hAnsi="宋体" w:cs="宋体"/>
          <w:color w:val="000000"/>
          <w:sz w:val="24"/>
        </w:rPr>
        <w:t>7</w:t>
      </w:r>
      <w:bookmarkStart w:id="848" w:name="_Toc300934971"/>
      <w:bookmarkStart w:id="849" w:name="_Toc303539128"/>
      <w:bookmarkStart w:id="850" w:name="_Toc297216178"/>
      <w:bookmarkStart w:id="851" w:name="_Toc297123519"/>
      <w:bookmarkStart w:id="852" w:name="_Toc312678015"/>
      <w:bookmarkStart w:id="853" w:name="_Toc304295549"/>
      <w:r>
        <w:rPr>
          <w:rFonts w:hint="eastAsia" w:ascii="宋体" w:hAnsi="宋体" w:cs="宋体"/>
          <w:color w:val="000000"/>
          <w:sz w:val="24"/>
        </w:rPr>
        <w:t>.6</w:t>
      </w:r>
      <w:bookmarkEnd w:id="848"/>
      <w:bookmarkEnd w:id="849"/>
      <w:bookmarkEnd w:id="850"/>
      <w:bookmarkEnd w:id="851"/>
      <w:bookmarkEnd w:id="852"/>
      <w:bookmarkEnd w:id="853"/>
      <w:r>
        <w:rPr>
          <w:rFonts w:hint="eastAsia" w:ascii="宋体" w:hAnsi="宋体" w:cs="宋体"/>
          <w:sz w:val="24"/>
        </w:rPr>
        <w:t>不利物质条件</w:t>
      </w:r>
    </w:p>
    <w:p>
      <w:pPr>
        <w:spacing w:line="560" w:lineRule="exact"/>
        <w:ind w:firstLine="480" w:firstLineChars="200"/>
        <w:rPr>
          <w:rFonts w:ascii="宋体" w:hAnsi="宋体" w:cs="宋体"/>
          <w:sz w:val="24"/>
        </w:rPr>
      </w:pPr>
      <w:bookmarkStart w:id="854" w:name="_Toc303539129"/>
      <w:bookmarkStart w:id="855" w:name="_Toc297123520"/>
      <w:bookmarkStart w:id="856" w:name="_Toc312678016"/>
      <w:bookmarkStart w:id="857" w:name="_Toc297216179"/>
      <w:bookmarkStart w:id="858" w:name="_Toc300934972"/>
      <w:bookmarkStart w:id="859" w:name="_Toc318581172"/>
      <w:bookmarkStart w:id="860" w:name="_Toc304295550"/>
      <w:r>
        <w:rPr>
          <w:rFonts w:hint="eastAsia" w:ascii="宋体" w:hAnsi="宋体" w:cs="宋体"/>
          <w:sz w:val="24"/>
        </w:rPr>
        <w:t>不利物质条件的其他情形和有关约定：</w:t>
      </w:r>
      <w:r>
        <w:rPr>
          <w:rFonts w:hint="eastAsia" w:ascii="宋体" w:hAnsi="宋体" w:cs="宋体"/>
          <w:sz w:val="24"/>
          <w:u w:val="single"/>
        </w:rPr>
        <w:t>按通用条款执行。</w:t>
      </w:r>
    </w:p>
    <w:bookmarkEnd w:id="854"/>
    <w:bookmarkEnd w:id="855"/>
    <w:bookmarkEnd w:id="856"/>
    <w:bookmarkEnd w:id="857"/>
    <w:bookmarkEnd w:id="858"/>
    <w:bookmarkEnd w:id="859"/>
    <w:bookmarkEnd w:id="860"/>
    <w:p>
      <w:pPr>
        <w:spacing w:line="560" w:lineRule="exact"/>
        <w:ind w:firstLine="480" w:firstLineChars="200"/>
        <w:rPr>
          <w:rFonts w:ascii="宋体" w:hAnsi="宋体" w:cs="宋体"/>
          <w:color w:val="000000"/>
          <w:sz w:val="24"/>
        </w:rPr>
      </w:pPr>
      <w:r>
        <w:rPr>
          <w:rFonts w:hint="eastAsia" w:ascii="宋体" w:hAnsi="宋体" w:cs="宋体"/>
          <w:sz w:val="24"/>
        </w:rPr>
        <w:t>7</w:t>
      </w:r>
      <w:bookmarkStart w:id="861" w:name="_Toc312678017"/>
      <w:bookmarkStart w:id="862" w:name="_Toc297216180"/>
      <w:bookmarkStart w:id="863" w:name="_Toc304295551"/>
      <w:bookmarkStart w:id="864" w:name="_Toc303539130"/>
      <w:bookmarkStart w:id="865" w:name="_Toc297123521"/>
      <w:bookmarkStart w:id="866" w:name="_Toc300934973"/>
      <w:r>
        <w:rPr>
          <w:rFonts w:hint="eastAsia" w:ascii="宋体" w:hAnsi="宋体" w:cs="宋体"/>
          <w:sz w:val="24"/>
        </w:rPr>
        <w:t>.7</w:t>
      </w:r>
      <w:r>
        <w:rPr>
          <w:rFonts w:hint="eastAsia" w:ascii="宋体" w:hAnsi="宋体" w:cs="宋体"/>
          <w:color w:val="000000"/>
          <w:sz w:val="24"/>
        </w:rPr>
        <w:t>异常恶劣的气候条件</w:t>
      </w:r>
    </w:p>
    <w:bookmarkEnd w:id="861"/>
    <w:bookmarkEnd w:id="862"/>
    <w:bookmarkEnd w:id="863"/>
    <w:bookmarkEnd w:id="864"/>
    <w:bookmarkEnd w:id="865"/>
    <w:bookmarkEnd w:id="866"/>
    <w:p>
      <w:pPr>
        <w:spacing w:line="560" w:lineRule="exact"/>
        <w:ind w:firstLine="480" w:firstLineChars="200"/>
        <w:rPr>
          <w:rFonts w:ascii="宋体" w:hAnsi="宋体" w:cs="宋体"/>
          <w:sz w:val="24"/>
        </w:rPr>
      </w:pPr>
      <w:r>
        <w:rPr>
          <w:rFonts w:hint="eastAsia" w:ascii="宋体" w:hAnsi="宋体" w:cs="宋体"/>
          <w:color w:val="000000"/>
          <w:sz w:val="24"/>
        </w:rPr>
        <w:t>发包人和</w:t>
      </w:r>
      <w:r>
        <w:rPr>
          <w:rFonts w:hint="eastAsia" w:ascii="宋体" w:hAnsi="宋体" w:cs="宋体"/>
          <w:sz w:val="24"/>
        </w:rPr>
        <w:t>承包人同意以下情形视为异常恶劣的气候条件：</w:t>
      </w:r>
    </w:p>
    <w:p>
      <w:pPr>
        <w:spacing w:line="560" w:lineRule="exact"/>
        <w:ind w:firstLine="480" w:firstLineChars="200"/>
        <w:rPr>
          <w:rFonts w:ascii="宋体" w:hAnsi="宋体" w:cs="宋体"/>
          <w:sz w:val="24"/>
        </w:rPr>
      </w:pPr>
      <w:r>
        <w:rPr>
          <w:rFonts w:hint="eastAsia" w:ascii="宋体" w:hAnsi="宋体" w:cs="宋体"/>
          <w:sz w:val="24"/>
        </w:rPr>
        <w:t>（1）</w:t>
      </w:r>
      <w:r>
        <w:rPr>
          <w:rFonts w:hint="eastAsia" w:ascii="宋体" w:hAnsi="宋体" w:cs="宋体"/>
          <w:sz w:val="24"/>
          <w:u w:val="single"/>
        </w:rPr>
        <w:t xml:space="preserve">按通用条款执行； </w:t>
      </w:r>
    </w:p>
    <w:p>
      <w:pPr>
        <w:spacing w:line="560" w:lineRule="exact"/>
        <w:ind w:firstLine="480" w:firstLineChars="200"/>
        <w:rPr>
          <w:rFonts w:ascii="宋体" w:hAnsi="宋体" w:cs="宋体"/>
          <w:color w:val="000000"/>
          <w:sz w:val="24"/>
        </w:rPr>
      </w:pPr>
      <w:r>
        <w:rPr>
          <w:rFonts w:hint="eastAsia" w:ascii="宋体" w:hAnsi="宋体" w:cs="宋体"/>
          <w:sz w:val="24"/>
        </w:rPr>
        <w:t>7</w:t>
      </w:r>
      <w:r>
        <w:rPr>
          <w:rFonts w:hint="eastAsia" w:ascii="宋体" w:hAnsi="宋体" w:cs="宋体"/>
          <w:color w:val="000000"/>
          <w:sz w:val="24"/>
        </w:rPr>
        <w:t>.9 提前竣工的奖励</w:t>
      </w:r>
    </w:p>
    <w:p>
      <w:pPr>
        <w:spacing w:line="560" w:lineRule="exact"/>
        <w:ind w:firstLine="480" w:firstLineChars="200"/>
        <w:rPr>
          <w:rFonts w:ascii="宋体" w:hAnsi="宋体" w:cs="宋体"/>
          <w:sz w:val="24"/>
        </w:rPr>
      </w:pPr>
      <w:r>
        <w:rPr>
          <w:rFonts w:hint="eastAsia" w:ascii="宋体" w:hAnsi="宋体" w:cs="宋体"/>
          <w:color w:val="000000"/>
          <w:sz w:val="24"/>
        </w:rPr>
        <w:t>7.9.2提</w:t>
      </w:r>
      <w:r>
        <w:rPr>
          <w:rFonts w:hint="eastAsia" w:ascii="宋体" w:hAnsi="宋体" w:cs="宋体"/>
          <w:sz w:val="24"/>
        </w:rPr>
        <w:t>前竣工的奖励：</w:t>
      </w:r>
      <w:bookmarkStart w:id="867" w:name="EBa326b5456f004704923d1faf7543715b"/>
      <w:r>
        <w:rPr>
          <w:rFonts w:hint="eastAsia" w:ascii="宋体" w:hAnsi="宋体" w:cs="宋体"/>
          <w:sz w:val="24"/>
          <w:u w:val="single"/>
        </w:rPr>
        <w:t>按通用条款执行</w:t>
      </w:r>
      <w:bookmarkEnd w:id="867"/>
      <w:r>
        <w:rPr>
          <w:rFonts w:hint="eastAsia" w:ascii="宋体" w:hAnsi="宋体" w:cs="宋体"/>
          <w:sz w:val="24"/>
        </w:rPr>
        <w:t>。</w:t>
      </w:r>
    </w:p>
    <w:p>
      <w:pPr>
        <w:spacing w:after="120" w:line="560" w:lineRule="exact"/>
        <w:ind w:firstLine="482" w:firstLineChars="200"/>
        <w:rPr>
          <w:rFonts w:ascii="宋体" w:hAnsi="宋体" w:cs="宋体"/>
          <w:b/>
          <w:color w:val="000000"/>
          <w:sz w:val="24"/>
        </w:rPr>
      </w:pPr>
      <w:r>
        <w:rPr>
          <w:rFonts w:hint="eastAsia" w:ascii="宋体" w:hAnsi="宋体" w:cs="宋体"/>
          <w:b/>
          <w:color w:val="000000"/>
          <w:sz w:val="24"/>
        </w:rPr>
        <w:t>8. 材料与设备</w:t>
      </w:r>
    </w:p>
    <w:bookmarkEnd w:id="800"/>
    <w:bookmarkEnd w:id="801"/>
    <w:bookmarkEnd w:id="802"/>
    <w:bookmarkEnd w:id="803"/>
    <w:bookmarkEnd w:id="804"/>
    <w:bookmarkEnd w:id="805"/>
    <w:bookmarkEnd w:id="806"/>
    <w:bookmarkEnd w:id="807"/>
    <w:bookmarkEnd w:id="808"/>
    <w:bookmarkEnd w:id="809"/>
    <w:p>
      <w:pPr>
        <w:spacing w:line="560" w:lineRule="exact"/>
        <w:ind w:firstLine="480" w:firstLineChars="200"/>
        <w:rPr>
          <w:rFonts w:ascii="宋体" w:hAnsi="宋体" w:cs="宋体"/>
          <w:color w:val="000000"/>
          <w:sz w:val="24"/>
        </w:rPr>
      </w:pPr>
      <w:r>
        <w:rPr>
          <w:rFonts w:hint="eastAsia" w:ascii="宋体" w:hAnsi="宋体" w:cs="宋体"/>
          <w:color w:val="000000"/>
          <w:sz w:val="24"/>
        </w:rPr>
        <w:t>8</w:t>
      </w:r>
      <w:bookmarkStart w:id="868" w:name="_Toc300934979"/>
      <w:bookmarkStart w:id="869" w:name="_Toc296944506"/>
      <w:bookmarkStart w:id="870" w:name="_Toc304295556"/>
      <w:bookmarkStart w:id="871" w:name="_Toc280868654"/>
      <w:bookmarkStart w:id="872" w:name="_Toc297048353"/>
      <w:bookmarkStart w:id="873" w:name="_Toc296891207"/>
      <w:bookmarkStart w:id="874" w:name="_Toc297216186"/>
      <w:bookmarkStart w:id="875" w:name="_Toc296890995"/>
      <w:bookmarkStart w:id="876" w:name="_Toc312678019"/>
      <w:bookmarkStart w:id="877" w:name="_Toc296347166"/>
      <w:bookmarkStart w:id="878" w:name="_Toc312677493"/>
      <w:bookmarkStart w:id="879" w:name="_Toc297123527"/>
      <w:bookmarkStart w:id="880" w:name="_Toc297120467"/>
      <w:bookmarkStart w:id="881" w:name="_Toc296346668"/>
      <w:bookmarkStart w:id="882" w:name="_Toc296503167"/>
      <w:bookmarkStart w:id="883" w:name="_Toc292559877"/>
      <w:bookmarkStart w:id="884" w:name="_Toc292559372"/>
      <w:bookmarkStart w:id="885" w:name="_Toc303539136"/>
      <w:bookmarkStart w:id="886" w:name="_Toc280868655"/>
      <w:bookmarkStart w:id="887" w:name="_Toc280868656"/>
      <w:bookmarkStart w:id="888" w:name="_Toc267251424"/>
      <w:r>
        <w:rPr>
          <w:rFonts w:hint="eastAsia" w:ascii="宋体" w:hAnsi="宋体" w:cs="宋体"/>
          <w:color w:val="000000"/>
          <w:sz w:val="24"/>
        </w:rPr>
        <w:t>.4材料与工程设备的保管与使用</w:t>
      </w:r>
    </w:p>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Pr>
        <w:spacing w:line="560" w:lineRule="exact"/>
        <w:ind w:firstLine="480" w:firstLineChars="200"/>
        <w:rPr>
          <w:rFonts w:ascii="宋体" w:hAnsi="宋体" w:cs="宋体"/>
          <w:color w:val="000000"/>
          <w:sz w:val="24"/>
        </w:rPr>
      </w:pPr>
      <w:r>
        <w:rPr>
          <w:rFonts w:hint="eastAsia" w:ascii="宋体" w:hAnsi="宋体" w:cs="宋体"/>
          <w:color w:val="000000"/>
          <w:sz w:val="24"/>
        </w:rPr>
        <w:t>8</w:t>
      </w:r>
      <w:bookmarkStart w:id="889" w:name="_Toc292559878"/>
      <w:bookmarkStart w:id="890" w:name="_Toc292559373"/>
      <w:bookmarkStart w:id="891" w:name="_Toc297123528"/>
      <w:bookmarkStart w:id="892" w:name="_Toc297120468"/>
      <w:bookmarkStart w:id="893" w:name="_Toc303539137"/>
      <w:bookmarkStart w:id="894" w:name="_Toc312677494"/>
      <w:bookmarkStart w:id="895" w:name="_Toc296347167"/>
      <w:bookmarkStart w:id="896" w:name="_Toc304295557"/>
      <w:bookmarkStart w:id="897" w:name="_Toc318581173"/>
      <w:bookmarkStart w:id="898" w:name="_Toc296503168"/>
      <w:bookmarkStart w:id="899" w:name="_Toc297216187"/>
      <w:bookmarkStart w:id="900" w:name="_Toc296944507"/>
      <w:bookmarkStart w:id="901" w:name="_Toc296891208"/>
      <w:bookmarkStart w:id="902" w:name="_Toc296346669"/>
      <w:bookmarkStart w:id="903" w:name="_Toc296890996"/>
      <w:bookmarkStart w:id="904" w:name="_Toc312678020"/>
      <w:bookmarkStart w:id="905" w:name="_Toc297048354"/>
      <w:bookmarkStart w:id="906" w:name="_Toc300934980"/>
      <w:r>
        <w:rPr>
          <w:rFonts w:hint="eastAsia" w:ascii="宋体" w:hAnsi="宋体" w:cs="宋体"/>
          <w:color w:val="000000"/>
          <w:sz w:val="24"/>
        </w:rPr>
        <w:t>.4.1发包人供应的材料设备的保管费用的承担：</w:t>
      </w:r>
      <w:r>
        <w:rPr>
          <w:rFonts w:hint="eastAsia" w:ascii="宋体" w:hAnsi="宋体" w:cs="宋体"/>
          <w:color w:val="000000"/>
          <w:sz w:val="24"/>
          <w:u w:val="single"/>
        </w:rPr>
        <w:t>按通用条款执行</w:t>
      </w:r>
      <w:r>
        <w:rPr>
          <w:rFonts w:hint="eastAsia" w:ascii="宋体" w:hAnsi="宋体" w:cs="宋体"/>
          <w:color w:val="000000"/>
          <w:sz w:val="24"/>
        </w:rPr>
        <w:t xml:space="preserve">。 </w:t>
      </w:r>
      <w:bookmarkEnd w:id="889"/>
      <w:bookmarkEnd w:id="890"/>
    </w:p>
    <w:p>
      <w:pPr>
        <w:spacing w:line="560" w:lineRule="exact"/>
        <w:ind w:firstLine="480" w:firstLineChars="200"/>
        <w:rPr>
          <w:rFonts w:ascii="宋体" w:hAnsi="宋体" w:cs="宋体"/>
          <w:color w:val="000000"/>
          <w:sz w:val="24"/>
        </w:rPr>
      </w:pPr>
      <w:r>
        <w:rPr>
          <w:rFonts w:hint="eastAsia" w:ascii="宋体" w:hAnsi="宋体" w:cs="宋体"/>
          <w:color w:val="000000"/>
          <w:sz w:val="24"/>
        </w:rPr>
        <w:t>8.6 样品</w:t>
      </w:r>
    </w:p>
    <w:p>
      <w:pPr>
        <w:spacing w:line="560" w:lineRule="exact"/>
        <w:ind w:firstLine="480" w:firstLineChars="200"/>
        <w:rPr>
          <w:rFonts w:ascii="宋体" w:hAnsi="宋体" w:cs="宋体"/>
          <w:color w:val="000000"/>
          <w:sz w:val="24"/>
        </w:rPr>
      </w:pPr>
      <w:r>
        <w:rPr>
          <w:rFonts w:hint="eastAsia" w:ascii="宋体" w:hAnsi="宋体" w:cs="宋体"/>
          <w:color w:val="000000"/>
          <w:sz w:val="24"/>
        </w:rPr>
        <w:t>8.6.1</w:t>
      </w:r>
      <w:r>
        <w:rPr>
          <w:rFonts w:hint="eastAsia" w:ascii="宋体" w:hAnsi="宋体" w:cs="宋体"/>
          <w:color w:val="000000"/>
          <w:sz w:val="24"/>
        </w:rPr>
        <w:tab/>
      </w:r>
      <w:r>
        <w:rPr>
          <w:rFonts w:hint="eastAsia" w:ascii="宋体" w:hAnsi="宋体" w:cs="宋体"/>
          <w:color w:val="000000"/>
          <w:sz w:val="24"/>
        </w:rPr>
        <w:t>样品的报送与封存</w:t>
      </w:r>
    </w:p>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Pr>
        <w:spacing w:line="560" w:lineRule="exact"/>
        <w:ind w:firstLine="480" w:firstLineChars="200"/>
        <w:rPr>
          <w:rFonts w:ascii="宋体" w:hAnsi="宋体" w:cs="宋体"/>
          <w:sz w:val="24"/>
          <w:u w:val="single"/>
        </w:rPr>
      </w:pPr>
      <w:r>
        <w:rPr>
          <w:rFonts w:hint="eastAsia" w:ascii="宋体" w:hAnsi="宋体" w:cs="宋体"/>
          <w:sz w:val="24"/>
        </w:rPr>
        <w:t>需要承包人报送样品的材料或工程设备，样品的种类、名称、规格、数量要求：</w:t>
      </w:r>
      <w:r>
        <w:rPr>
          <w:rFonts w:hint="eastAsia" w:ascii="宋体" w:hAnsi="宋体" w:cs="宋体"/>
          <w:sz w:val="24"/>
          <w:u w:val="single"/>
        </w:rPr>
        <w:t>按通用条款规定。</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8.8 施工设备和临时设施</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8.8.1 承包人提供的施工设备和临时设施</w:t>
      </w:r>
    </w:p>
    <w:p>
      <w:pPr>
        <w:autoSpaceDE w:val="0"/>
        <w:autoSpaceDN w:val="0"/>
        <w:adjustRightInd w:val="0"/>
        <w:spacing w:line="560" w:lineRule="exact"/>
        <w:ind w:firstLine="480" w:firstLineChars="200"/>
        <w:rPr>
          <w:rFonts w:ascii="宋体" w:hAnsi="宋体" w:cs="宋体"/>
          <w:sz w:val="24"/>
          <w:u w:val="single"/>
        </w:rPr>
      </w:pPr>
      <w:r>
        <w:rPr>
          <w:rFonts w:hint="eastAsia" w:ascii="宋体" w:hAnsi="宋体" w:cs="宋体"/>
          <w:sz w:val="24"/>
        </w:rPr>
        <w:t>关于修建临时设施费用承担的约定：</w:t>
      </w:r>
      <w:r>
        <w:rPr>
          <w:rFonts w:hint="eastAsia" w:ascii="宋体" w:hAnsi="宋体" w:cs="宋体"/>
          <w:sz w:val="24"/>
          <w:u w:val="single"/>
        </w:rPr>
        <w:t>承包人。</w:t>
      </w:r>
    </w:p>
    <w:p>
      <w:pPr>
        <w:spacing w:line="560" w:lineRule="exact"/>
        <w:ind w:firstLine="480" w:firstLineChars="200"/>
        <w:rPr>
          <w:rFonts w:ascii="宋体" w:hAnsi="宋体" w:cs="宋体"/>
          <w:color w:val="000000"/>
          <w:sz w:val="24"/>
        </w:rPr>
      </w:pPr>
      <w:bookmarkStart w:id="907" w:name="_Toc489620092"/>
      <w:r>
        <w:rPr>
          <w:rFonts w:hint="eastAsia" w:ascii="宋体" w:hAnsi="宋体" w:cs="宋体"/>
          <w:color w:val="000000"/>
          <w:sz w:val="24"/>
        </w:rPr>
        <w:t>9</w:t>
      </w:r>
      <w:bookmarkEnd w:id="886"/>
      <w:bookmarkEnd w:id="887"/>
      <w:bookmarkEnd w:id="888"/>
      <w:bookmarkStart w:id="908" w:name="_Toc312678021"/>
      <w:bookmarkStart w:id="909" w:name="_Toc297123533"/>
      <w:bookmarkStart w:id="910" w:name="_Toc312677495"/>
      <w:bookmarkStart w:id="911" w:name="_Toc297216192"/>
      <w:bookmarkStart w:id="912" w:name="_Toc304295559"/>
      <w:bookmarkStart w:id="913" w:name="_Toc303539139"/>
      <w:bookmarkStart w:id="914" w:name="_Toc300934982"/>
      <w:bookmarkStart w:id="915" w:name="_Toc296891001"/>
      <w:bookmarkStart w:id="916" w:name="_Toc296503173"/>
      <w:bookmarkStart w:id="917" w:name="_Toc292559883"/>
      <w:bookmarkStart w:id="918" w:name="_Toc267251428"/>
      <w:bookmarkStart w:id="919" w:name="_Toc296347172"/>
      <w:bookmarkStart w:id="920" w:name="_Toc267251427"/>
      <w:bookmarkStart w:id="921" w:name="_Toc297048359"/>
      <w:bookmarkStart w:id="922" w:name="_Toc297120473"/>
      <w:bookmarkStart w:id="923" w:name="_Toc296346674"/>
      <w:bookmarkStart w:id="924" w:name="_Toc292559378"/>
      <w:bookmarkStart w:id="925" w:name="_Toc296944512"/>
      <w:bookmarkStart w:id="926" w:name="_Toc296891213"/>
      <w:r>
        <w:rPr>
          <w:rFonts w:hint="eastAsia" w:ascii="宋体" w:hAnsi="宋体" w:cs="宋体"/>
          <w:color w:val="000000"/>
          <w:sz w:val="24"/>
        </w:rPr>
        <w:t>. 试验与检验</w:t>
      </w:r>
      <w:bookmarkEnd w:id="907"/>
    </w:p>
    <w:bookmarkEnd w:id="908"/>
    <w:bookmarkEnd w:id="909"/>
    <w:bookmarkEnd w:id="910"/>
    <w:bookmarkEnd w:id="911"/>
    <w:bookmarkEnd w:id="912"/>
    <w:bookmarkEnd w:id="913"/>
    <w:bookmarkEnd w:id="914"/>
    <w:p>
      <w:pPr>
        <w:spacing w:line="560" w:lineRule="exact"/>
        <w:ind w:firstLine="480" w:firstLineChars="200"/>
        <w:rPr>
          <w:rFonts w:ascii="宋体" w:hAnsi="宋体" w:cs="宋体"/>
          <w:color w:val="000000"/>
          <w:sz w:val="24"/>
        </w:rPr>
      </w:pPr>
      <w:r>
        <w:rPr>
          <w:rFonts w:hint="eastAsia" w:ascii="宋体" w:hAnsi="宋体" w:cs="宋体"/>
          <w:color w:val="000000"/>
          <w:sz w:val="24"/>
        </w:rPr>
        <w:t>9</w:t>
      </w:r>
      <w:bookmarkStart w:id="927" w:name="_Toc304295560"/>
      <w:bookmarkStart w:id="928" w:name="_Toc300934983"/>
      <w:bookmarkStart w:id="929" w:name="_Toc297123534"/>
      <w:bookmarkStart w:id="930" w:name="_Toc312677496"/>
      <w:bookmarkStart w:id="931" w:name="_Toc312678022"/>
      <w:bookmarkStart w:id="932" w:name="_Toc303539140"/>
      <w:bookmarkStart w:id="933" w:name="_Toc297216193"/>
      <w:r>
        <w:rPr>
          <w:rFonts w:hint="eastAsia" w:ascii="宋体" w:hAnsi="宋体" w:cs="宋体"/>
          <w:color w:val="000000"/>
          <w:sz w:val="24"/>
        </w:rPr>
        <w:t>.1试验设备与试验人员</w:t>
      </w:r>
    </w:p>
    <w:bookmarkEnd w:id="927"/>
    <w:bookmarkEnd w:id="928"/>
    <w:bookmarkEnd w:id="929"/>
    <w:bookmarkEnd w:id="930"/>
    <w:bookmarkEnd w:id="931"/>
    <w:bookmarkEnd w:id="932"/>
    <w:bookmarkEnd w:id="933"/>
    <w:p>
      <w:pPr>
        <w:spacing w:line="560" w:lineRule="exact"/>
        <w:ind w:firstLine="480" w:firstLineChars="200"/>
        <w:rPr>
          <w:rFonts w:ascii="宋体" w:hAnsi="宋体" w:cs="宋体"/>
          <w:color w:val="000000"/>
          <w:sz w:val="24"/>
        </w:rPr>
      </w:pPr>
      <w:r>
        <w:rPr>
          <w:rFonts w:hint="eastAsia" w:ascii="宋体" w:hAnsi="宋体" w:cs="宋体"/>
          <w:color w:val="000000"/>
          <w:sz w:val="24"/>
        </w:rPr>
        <w:t>9</w:t>
      </w:r>
      <w:bookmarkStart w:id="934" w:name="_Toc304295561"/>
      <w:bookmarkStart w:id="935" w:name="_Toc297216194"/>
      <w:bookmarkStart w:id="936" w:name="_Toc303539141"/>
      <w:bookmarkStart w:id="937" w:name="_Toc297123535"/>
      <w:bookmarkStart w:id="938" w:name="_Toc300934984"/>
      <w:bookmarkStart w:id="939" w:name="_Toc312677497"/>
      <w:bookmarkStart w:id="940" w:name="_Toc312678023"/>
      <w:bookmarkStart w:id="941" w:name="_Toc318581174"/>
      <w:r>
        <w:rPr>
          <w:rFonts w:hint="eastAsia" w:ascii="宋体" w:hAnsi="宋体" w:cs="宋体"/>
          <w:color w:val="000000"/>
          <w:sz w:val="24"/>
        </w:rPr>
        <w:t>.1.2 试验设备</w:t>
      </w:r>
    </w:p>
    <w:bookmarkEnd w:id="934"/>
    <w:bookmarkEnd w:id="935"/>
    <w:bookmarkEnd w:id="936"/>
    <w:bookmarkEnd w:id="937"/>
    <w:bookmarkEnd w:id="938"/>
    <w:bookmarkEnd w:id="939"/>
    <w:bookmarkEnd w:id="940"/>
    <w:p>
      <w:pPr>
        <w:spacing w:line="560" w:lineRule="exact"/>
        <w:ind w:firstLine="480" w:firstLineChars="200"/>
        <w:rPr>
          <w:rFonts w:ascii="宋体" w:hAnsi="宋体" w:cs="宋体"/>
          <w:sz w:val="24"/>
        </w:rPr>
      </w:pPr>
      <w:bookmarkStart w:id="942" w:name="_Toc304295562"/>
      <w:bookmarkStart w:id="943" w:name="_Toc303539142"/>
      <w:bookmarkStart w:id="944" w:name="_Toc312677498"/>
      <w:bookmarkStart w:id="945" w:name="_Toc297123536"/>
      <w:bookmarkStart w:id="946" w:name="_Toc297216195"/>
      <w:bookmarkStart w:id="947" w:name="_Toc300934985"/>
      <w:bookmarkStart w:id="948" w:name="_Toc312678024"/>
      <w:r>
        <w:rPr>
          <w:rFonts w:hint="eastAsia" w:ascii="宋体" w:hAnsi="宋体" w:cs="宋体"/>
          <w:color w:val="000000"/>
          <w:sz w:val="24"/>
        </w:rPr>
        <w:t>施工</w:t>
      </w:r>
      <w:r>
        <w:rPr>
          <w:rFonts w:hint="eastAsia" w:ascii="宋体" w:hAnsi="宋体" w:cs="宋体"/>
          <w:sz w:val="24"/>
        </w:rPr>
        <w:t>现场需要配置的试验场所：</w:t>
      </w:r>
      <w:r>
        <w:rPr>
          <w:rFonts w:hint="eastAsia" w:ascii="宋体" w:hAnsi="宋体" w:cs="宋体"/>
          <w:sz w:val="24"/>
          <w:u w:val="single"/>
        </w:rPr>
        <w:t xml:space="preserve">按工程需要或甲方要求提供。 </w:t>
      </w:r>
    </w:p>
    <w:p>
      <w:pPr>
        <w:spacing w:line="560" w:lineRule="exact"/>
        <w:ind w:firstLine="480" w:firstLineChars="200"/>
        <w:rPr>
          <w:rFonts w:ascii="宋体" w:hAnsi="宋体" w:cs="宋体"/>
          <w:sz w:val="24"/>
          <w:u w:val="single"/>
        </w:rPr>
      </w:pPr>
      <w:r>
        <w:rPr>
          <w:rFonts w:hint="eastAsia" w:ascii="宋体" w:hAnsi="宋体" w:cs="宋体"/>
          <w:sz w:val="24"/>
        </w:rPr>
        <w:t>施工现场需要配备的试验设备：</w:t>
      </w:r>
      <w:r>
        <w:rPr>
          <w:rFonts w:hint="eastAsia" w:ascii="宋体" w:hAnsi="宋体" w:cs="宋体"/>
          <w:sz w:val="24"/>
          <w:u w:val="single"/>
        </w:rPr>
        <w:t>按工程需要或甲方要求提供。</w:t>
      </w:r>
    </w:p>
    <w:p>
      <w:pPr>
        <w:spacing w:line="560" w:lineRule="exact"/>
        <w:ind w:firstLine="480" w:firstLineChars="200"/>
        <w:rPr>
          <w:rFonts w:ascii="宋体" w:hAnsi="宋体" w:cs="宋体"/>
          <w:sz w:val="24"/>
          <w:u w:val="single"/>
        </w:rPr>
      </w:pPr>
      <w:r>
        <w:rPr>
          <w:rFonts w:hint="eastAsia" w:ascii="宋体" w:hAnsi="宋体" w:cs="宋体"/>
          <w:sz w:val="24"/>
        </w:rPr>
        <w:t>施工现场需要具备的其他试验条件：</w:t>
      </w:r>
      <w:r>
        <w:rPr>
          <w:rFonts w:hint="eastAsia" w:ascii="宋体" w:hAnsi="宋体" w:cs="宋体"/>
          <w:sz w:val="24"/>
          <w:u w:val="single"/>
        </w:rPr>
        <w:t>按工程需要或甲方要求提供。</w:t>
      </w:r>
    </w:p>
    <w:p>
      <w:pPr>
        <w:spacing w:line="560" w:lineRule="exact"/>
        <w:ind w:firstLine="480" w:firstLineChars="200"/>
        <w:rPr>
          <w:rFonts w:ascii="宋体" w:hAnsi="宋体" w:cs="宋体"/>
          <w:sz w:val="24"/>
        </w:rPr>
      </w:pPr>
      <w:r>
        <w:rPr>
          <w:rFonts w:hint="eastAsia" w:ascii="宋体" w:hAnsi="宋体" w:cs="宋体"/>
          <w:sz w:val="24"/>
        </w:rPr>
        <w:t xml:space="preserve">9.4 现场工艺试验 </w:t>
      </w:r>
    </w:p>
    <w:p>
      <w:pPr>
        <w:spacing w:line="560" w:lineRule="exact"/>
        <w:ind w:firstLine="480" w:firstLineChars="200"/>
        <w:rPr>
          <w:rFonts w:ascii="宋体" w:hAnsi="宋体" w:cs="宋体"/>
          <w:sz w:val="24"/>
          <w:u w:val="single"/>
        </w:rPr>
      </w:pPr>
      <w:r>
        <w:rPr>
          <w:rFonts w:hint="eastAsia" w:ascii="宋体" w:hAnsi="宋体" w:cs="宋体"/>
          <w:sz w:val="24"/>
        </w:rPr>
        <w:t>现场工艺试验的有关约定</w:t>
      </w:r>
      <w:r>
        <w:rPr>
          <w:rFonts w:hint="eastAsia" w:ascii="宋体" w:hAnsi="宋体" w:cs="宋体"/>
          <w:sz w:val="24"/>
          <w:u w:val="single"/>
        </w:rPr>
        <w:t>：按工程需要或甲方要求提供。</w:t>
      </w:r>
    </w:p>
    <w:bookmarkEnd w:id="941"/>
    <w:bookmarkEnd w:id="942"/>
    <w:bookmarkEnd w:id="943"/>
    <w:bookmarkEnd w:id="944"/>
    <w:bookmarkEnd w:id="945"/>
    <w:bookmarkEnd w:id="946"/>
    <w:bookmarkEnd w:id="947"/>
    <w:bookmarkEnd w:id="948"/>
    <w:p>
      <w:pPr>
        <w:spacing w:line="560" w:lineRule="exact"/>
        <w:ind w:firstLine="480" w:firstLineChars="200"/>
        <w:rPr>
          <w:rFonts w:ascii="宋体" w:hAnsi="宋体" w:cs="宋体"/>
          <w:color w:val="000000"/>
          <w:sz w:val="24"/>
        </w:rPr>
      </w:pPr>
      <w:bookmarkStart w:id="949" w:name="_Toc489620093"/>
      <w:r>
        <w:rPr>
          <w:rFonts w:hint="eastAsia" w:ascii="宋体" w:hAnsi="宋体" w:cs="宋体"/>
          <w:color w:val="000000"/>
          <w:sz w:val="24"/>
        </w:rPr>
        <w:t>1</w:t>
      </w:r>
      <w:bookmarkEnd w:id="915"/>
      <w:bookmarkEnd w:id="916"/>
      <w:bookmarkEnd w:id="917"/>
      <w:bookmarkEnd w:id="918"/>
      <w:bookmarkEnd w:id="919"/>
      <w:bookmarkEnd w:id="920"/>
      <w:bookmarkEnd w:id="921"/>
      <w:bookmarkEnd w:id="922"/>
      <w:bookmarkEnd w:id="923"/>
      <w:bookmarkEnd w:id="924"/>
      <w:bookmarkEnd w:id="925"/>
      <w:bookmarkEnd w:id="926"/>
      <w:bookmarkStart w:id="950" w:name="_Toc292559398"/>
      <w:bookmarkStart w:id="951" w:name="_Toc303539146"/>
      <w:bookmarkStart w:id="952" w:name="_Toc292559903"/>
      <w:bookmarkStart w:id="953" w:name="_Toc297123540"/>
      <w:bookmarkStart w:id="954" w:name="_Toc304295566"/>
      <w:bookmarkStart w:id="955" w:name="_Toc300934989"/>
      <w:bookmarkStart w:id="956" w:name="_Toc296347192"/>
      <w:bookmarkStart w:id="957" w:name="_Toc296503193"/>
      <w:bookmarkStart w:id="958" w:name="_Toc296346694"/>
      <w:bookmarkStart w:id="959" w:name="_Toc297048379"/>
      <w:bookmarkStart w:id="960" w:name="_Toc297216199"/>
      <w:bookmarkStart w:id="961" w:name="_Toc296891233"/>
      <w:bookmarkStart w:id="962" w:name="_Toc296891021"/>
      <w:bookmarkStart w:id="963" w:name="_Toc296944532"/>
      <w:bookmarkStart w:id="964" w:name="_Toc297120493"/>
      <w:bookmarkStart w:id="965" w:name="_Toc312677499"/>
      <w:bookmarkStart w:id="966" w:name="_Toc312678025"/>
      <w:bookmarkStart w:id="967" w:name="_Toc267251441"/>
      <w:bookmarkStart w:id="968" w:name="_Toc267251439"/>
      <w:bookmarkStart w:id="969" w:name="_Toc267251440"/>
      <w:bookmarkStart w:id="970" w:name="_Toc267251437"/>
      <w:bookmarkStart w:id="971" w:name="_Toc267251435"/>
      <w:bookmarkStart w:id="972" w:name="_Toc267251433"/>
      <w:bookmarkStart w:id="973" w:name="_Toc267251442"/>
      <w:r>
        <w:rPr>
          <w:rFonts w:hint="eastAsia" w:ascii="宋体" w:hAnsi="宋体" w:cs="宋体"/>
          <w:color w:val="000000"/>
          <w:sz w:val="24"/>
        </w:rPr>
        <w:t>0. 变更</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pPr>
        <w:spacing w:line="560" w:lineRule="exact"/>
        <w:ind w:firstLine="480" w:firstLineChars="200"/>
        <w:rPr>
          <w:rFonts w:ascii="宋体" w:hAnsi="宋体" w:cs="宋体"/>
          <w:sz w:val="24"/>
        </w:rPr>
      </w:pPr>
      <w:r>
        <w:rPr>
          <w:rFonts w:hint="eastAsia" w:ascii="宋体" w:hAnsi="宋体" w:cs="宋体"/>
          <w:color w:val="000000"/>
          <w:sz w:val="24"/>
        </w:rPr>
        <w:t>关于变</w:t>
      </w:r>
      <w:r>
        <w:rPr>
          <w:rFonts w:hint="eastAsia" w:ascii="宋体" w:hAnsi="宋体" w:cs="宋体"/>
          <w:sz w:val="24"/>
        </w:rPr>
        <w:t>更的范围的约定：</w:t>
      </w:r>
      <w:r>
        <w:rPr>
          <w:rFonts w:hint="eastAsia" w:ascii="宋体" w:hAnsi="宋体" w:cs="宋体"/>
          <w:sz w:val="24"/>
          <w:u w:val="single"/>
        </w:rPr>
        <w:t>按有关规定执行</w:t>
      </w:r>
      <w:r>
        <w:rPr>
          <w:rFonts w:hint="eastAsia" w:ascii="宋体" w:hAnsi="宋体" w:cs="宋体"/>
          <w:sz w:val="24"/>
        </w:rPr>
        <w:t>。</w:t>
      </w:r>
    </w:p>
    <w:bookmarkEnd w:id="965"/>
    <w:bookmarkEnd w:id="966"/>
    <w:p>
      <w:pPr>
        <w:spacing w:line="560" w:lineRule="exact"/>
        <w:ind w:firstLine="480" w:firstLineChars="200"/>
        <w:rPr>
          <w:rFonts w:ascii="宋体" w:hAnsi="宋体" w:cs="宋体"/>
          <w:color w:val="000000"/>
          <w:sz w:val="24"/>
        </w:rPr>
      </w:pPr>
      <w:bookmarkStart w:id="974" w:name="_Toc489620094"/>
      <w:r>
        <w:rPr>
          <w:rFonts w:hint="eastAsia" w:ascii="宋体" w:hAnsi="宋体" w:cs="宋体"/>
          <w:color w:val="000000"/>
          <w:sz w:val="24"/>
        </w:rPr>
        <w:t>11. 价格调整</w:t>
      </w:r>
      <w:bookmarkEnd w:id="974"/>
    </w:p>
    <w:p>
      <w:pPr>
        <w:spacing w:line="560" w:lineRule="exact"/>
        <w:ind w:firstLine="480" w:firstLineChars="200"/>
        <w:rPr>
          <w:rFonts w:ascii="宋体" w:hAnsi="宋体" w:cs="宋体"/>
          <w:color w:val="000000"/>
          <w:sz w:val="24"/>
        </w:rPr>
      </w:pPr>
      <w:bookmarkStart w:id="975" w:name="_Toc312678039"/>
      <w:bookmarkStart w:id="976" w:name="_Toc296346702"/>
      <w:bookmarkStart w:id="977" w:name="_Toc292559406"/>
      <w:bookmarkStart w:id="978" w:name="_Toc296944540"/>
      <w:bookmarkStart w:id="979" w:name="_Toc296503201"/>
      <w:bookmarkStart w:id="980" w:name="_Toc300935000"/>
      <w:bookmarkStart w:id="981" w:name="_Toc297123550"/>
      <w:bookmarkStart w:id="982" w:name="_Toc297216209"/>
      <w:bookmarkStart w:id="983" w:name="_Toc296891029"/>
      <w:bookmarkStart w:id="984" w:name="_Toc297120501"/>
      <w:bookmarkStart w:id="985" w:name="_Toc296347200"/>
      <w:bookmarkStart w:id="986" w:name="_Toc304295577"/>
      <w:bookmarkStart w:id="987" w:name="_Toc297048387"/>
      <w:bookmarkStart w:id="988" w:name="_Toc303539157"/>
      <w:bookmarkStart w:id="989" w:name="_Toc292559911"/>
      <w:bookmarkStart w:id="990" w:name="_Toc296891241"/>
      <w:r>
        <w:rPr>
          <w:rFonts w:hint="eastAsia" w:ascii="宋体" w:hAnsi="宋体" w:cs="宋体"/>
          <w:color w:val="000000"/>
          <w:sz w:val="24"/>
        </w:rPr>
        <w:t>11.1 市场价格波动引起的调整</w:t>
      </w:r>
    </w:p>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Pr>
        <w:spacing w:line="560" w:lineRule="exact"/>
        <w:ind w:firstLine="480" w:firstLineChars="200"/>
        <w:rPr>
          <w:rFonts w:ascii="宋体" w:hAnsi="宋体" w:cs="宋体"/>
          <w:sz w:val="24"/>
        </w:rPr>
      </w:pPr>
      <w:r>
        <w:rPr>
          <w:rFonts w:hint="eastAsia" w:ascii="宋体" w:hAnsi="宋体" w:cs="宋体"/>
          <w:color w:val="000000"/>
          <w:sz w:val="24"/>
        </w:rPr>
        <w:t>市场</w:t>
      </w:r>
      <w:r>
        <w:rPr>
          <w:rFonts w:hint="eastAsia" w:ascii="宋体" w:hAnsi="宋体" w:cs="宋体"/>
          <w:sz w:val="24"/>
        </w:rPr>
        <w:t>价格波动是否调整合同价格的约定：</w:t>
      </w:r>
      <w:r>
        <w:rPr>
          <w:rFonts w:hint="eastAsia" w:ascii="宋体" w:hAnsi="宋体" w:cs="宋体"/>
          <w:sz w:val="24"/>
          <w:u w:val="single"/>
        </w:rPr>
        <w:t>不调整；</w:t>
      </w:r>
    </w:p>
    <w:bookmarkEnd w:id="967"/>
    <w:bookmarkEnd w:id="968"/>
    <w:bookmarkEnd w:id="969"/>
    <w:bookmarkEnd w:id="970"/>
    <w:bookmarkEnd w:id="971"/>
    <w:bookmarkEnd w:id="972"/>
    <w:p>
      <w:pPr>
        <w:spacing w:line="560" w:lineRule="exact"/>
        <w:ind w:firstLine="480" w:firstLineChars="200"/>
        <w:rPr>
          <w:rFonts w:ascii="宋体" w:hAnsi="宋体" w:cs="宋体"/>
          <w:color w:val="000000"/>
          <w:sz w:val="24"/>
        </w:rPr>
      </w:pPr>
      <w:bookmarkStart w:id="991" w:name="_Toc296347204"/>
      <w:bookmarkStart w:id="992" w:name="_Toc296891033"/>
      <w:bookmarkStart w:id="993" w:name="_Toc296891245"/>
      <w:bookmarkStart w:id="994" w:name="_Toc297120505"/>
      <w:bookmarkStart w:id="995" w:name="_Toc292559915"/>
      <w:bookmarkStart w:id="996" w:name="_Toc296944544"/>
      <w:bookmarkStart w:id="997" w:name="_Toc296503205"/>
      <w:bookmarkStart w:id="998" w:name="_Toc296346706"/>
      <w:bookmarkStart w:id="999" w:name="_Toc297048391"/>
      <w:bookmarkStart w:id="1000" w:name="_Toc292559410"/>
      <w:bookmarkStart w:id="1001" w:name="_Toc489620095"/>
      <w:bookmarkStart w:id="1002" w:name="_Toc304295579"/>
      <w:bookmarkStart w:id="1003" w:name="_Toc312678040"/>
      <w:bookmarkStart w:id="1004" w:name="_Toc297123552"/>
      <w:bookmarkStart w:id="1005" w:name="_Toc297216211"/>
      <w:bookmarkStart w:id="1006" w:name="_Toc300935002"/>
      <w:bookmarkStart w:id="1007" w:name="_Toc303539159"/>
      <w:r>
        <w:rPr>
          <w:rFonts w:hint="eastAsia" w:ascii="宋体" w:hAnsi="宋体" w:cs="宋体"/>
          <w:color w:val="000000"/>
          <w:sz w:val="24"/>
        </w:rPr>
        <w:t xml:space="preserve">12. </w:t>
      </w:r>
      <w:bookmarkEnd w:id="991"/>
      <w:bookmarkEnd w:id="992"/>
      <w:bookmarkEnd w:id="993"/>
      <w:bookmarkEnd w:id="994"/>
      <w:bookmarkEnd w:id="995"/>
      <w:bookmarkEnd w:id="996"/>
      <w:bookmarkEnd w:id="997"/>
      <w:bookmarkEnd w:id="998"/>
      <w:bookmarkEnd w:id="999"/>
      <w:bookmarkEnd w:id="1000"/>
      <w:r>
        <w:rPr>
          <w:rFonts w:hint="eastAsia" w:ascii="宋体" w:hAnsi="宋体" w:cs="宋体"/>
          <w:color w:val="000000"/>
          <w:sz w:val="24"/>
        </w:rPr>
        <w:t>合同价格、计量与支付</w:t>
      </w:r>
      <w:bookmarkEnd w:id="1001"/>
    </w:p>
    <w:bookmarkEnd w:id="1002"/>
    <w:bookmarkEnd w:id="1003"/>
    <w:bookmarkEnd w:id="1004"/>
    <w:bookmarkEnd w:id="1005"/>
    <w:bookmarkEnd w:id="1006"/>
    <w:bookmarkEnd w:id="1007"/>
    <w:p>
      <w:pPr>
        <w:spacing w:line="560" w:lineRule="exact"/>
        <w:ind w:firstLine="480" w:firstLineChars="200"/>
        <w:rPr>
          <w:rFonts w:ascii="宋体" w:hAnsi="宋体" w:cs="宋体"/>
          <w:color w:val="000000"/>
          <w:sz w:val="24"/>
        </w:rPr>
      </w:pPr>
      <w:bookmarkStart w:id="1008" w:name="_Toc267251461"/>
      <w:bookmarkStart w:id="1009" w:name="_Toc292559411"/>
      <w:bookmarkStart w:id="1010" w:name="_Toc292559916"/>
      <w:bookmarkStart w:id="1011" w:name="_Toc296346707"/>
      <w:bookmarkStart w:id="1012" w:name="_Toc296891034"/>
      <w:bookmarkStart w:id="1013" w:name="_Toc296944545"/>
      <w:bookmarkStart w:id="1014" w:name="_Toc297120506"/>
      <w:bookmarkStart w:id="1015" w:name="_Toc296891246"/>
      <w:bookmarkStart w:id="1016" w:name="_Toc296503206"/>
      <w:bookmarkStart w:id="1017" w:name="_Toc297048392"/>
      <w:bookmarkStart w:id="1018" w:name="_Toc296347205"/>
      <w:bookmarkStart w:id="1019" w:name="_Toc303539160"/>
      <w:bookmarkStart w:id="1020" w:name="_Toc312678041"/>
      <w:bookmarkStart w:id="1021" w:name="_Toc297123553"/>
      <w:bookmarkStart w:id="1022" w:name="_Toc300935003"/>
      <w:bookmarkStart w:id="1023" w:name="_Toc297216212"/>
      <w:bookmarkStart w:id="1024" w:name="_Toc304295580"/>
      <w:r>
        <w:rPr>
          <w:rFonts w:hint="eastAsia" w:ascii="宋体" w:hAnsi="宋体" w:cs="宋体"/>
          <w:color w:val="000000"/>
          <w:sz w:val="24"/>
        </w:rPr>
        <w:t>12.1 合</w:t>
      </w:r>
      <w:bookmarkEnd w:id="1008"/>
      <w:bookmarkEnd w:id="1009"/>
      <w:bookmarkEnd w:id="1010"/>
      <w:r>
        <w:rPr>
          <w:rFonts w:hint="eastAsia" w:ascii="宋体" w:hAnsi="宋体" w:cs="宋体"/>
          <w:color w:val="000000"/>
          <w:sz w:val="24"/>
        </w:rPr>
        <w:t>同价</w:t>
      </w:r>
      <w:bookmarkEnd w:id="1011"/>
      <w:bookmarkEnd w:id="1012"/>
      <w:bookmarkEnd w:id="1013"/>
      <w:bookmarkEnd w:id="1014"/>
      <w:bookmarkEnd w:id="1015"/>
      <w:bookmarkEnd w:id="1016"/>
      <w:bookmarkEnd w:id="1017"/>
      <w:bookmarkEnd w:id="1018"/>
      <w:r>
        <w:rPr>
          <w:rFonts w:hint="eastAsia" w:ascii="宋体" w:hAnsi="宋体" w:cs="宋体"/>
          <w:color w:val="000000"/>
          <w:sz w:val="24"/>
        </w:rPr>
        <w:t>格形式</w:t>
      </w:r>
    </w:p>
    <w:bookmarkEnd w:id="1019"/>
    <w:bookmarkEnd w:id="1020"/>
    <w:bookmarkEnd w:id="1021"/>
    <w:bookmarkEnd w:id="1022"/>
    <w:bookmarkEnd w:id="1023"/>
    <w:bookmarkEnd w:id="1024"/>
    <w:p>
      <w:pPr>
        <w:spacing w:line="560" w:lineRule="exact"/>
        <w:ind w:firstLine="480" w:firstLineChars="200"/>
        <w:rPr>
          <w:rFonts w:ascii="宋体" w:hAnsi="宋体" w:cs="宋体"/>
          <w:sz w:val="24"/>
        </w:rPr>
      </w:pPr>
      <w:r>
        <w:rPr>
          <w:rFonts w:hint="eastAsia" w:ascii="宋体" w:hAnsi="宋体" w:cs="宋体"/>
          <w:color w:val="000000"/>
          <w:sz w:val="24"/>
        </w:rPr>
        <w:t>1、单</w:t>
      </w:r>
      <w:r>
        <w:rPr>
          <w:rFonts w:hint="eastAsia" w:ascii="宋体" w:hAnsi="宋体" w:cs="宋体"/>
          <w:sz w:val="24"/>
        </w:rPr>
        <w:t>价合同。</w:t>
      </w:r>
    </w:p>
    <w:p>
      <w:pPr>
        <w:spacing w:line="560" w:lineRule="exact"/>
        <w:ind w:firstLine="480" w:firstLineChars="200"/>
        <w:rPr>
          <w:rFonts w:ascii="宋体" w:hAnsi="宋体" w:cs="宋体"/>
          <w:sz w:val="24"/>
        </w:rPr>
      </w:pPr>
      <w:r>
        <w:rPr>
          <w:rFonts w:hint="eastAsia" w:ascii="宋体" w:hAnsi="宋体" w:cs="宋体"/>
          <w:sz w:val="24"/>
        </w:rPr>
        <w:t>综合单价包含的风险范围：</w:t>
      </w:r>
    </w:p>
    <w:p>
      <w:pPr>
        <w:spacing w:line="560" w:lineRule="exact"/>
        <w:ind w:firstLine="480" w:firstLineChars="200"/>
        <w:rPr>
          <w:rFonts w:ascii="宋体" w:hAnsi="宋体" w:cs="宋体"/>
          <w:sz w:val="24"/>
        </w:rPr>
      </w:pPr>
      <w:r>
        <w:rPr>
          <w:rFonts w:hint="eastAsia" w:ascii="宋体" w:hAnsi="宋体" w:cs="宋体"/>
          <w:sz w:val="24"/>
        </w:rPr>
        <w:t>1.人工费用的政策性调整；</w:t>
      </w:r>
    </w:p>
    <w:p>
      <w:pPr>
        <w:spacing w:line="560" w:lineRule="exact"/>
        <w:ind w:firstLine="480" w:firstLineChars="200"/>
        <w:rPr>
          <w:rFonts w:ascii="宋体" w:hAnsi="宋体" w:cs="宋体"/>
          <w:sz w:val="24"/>
        </w:rPr>
      </w:pPr>
      <w:r>
        <w:rPr>
          <w:rFonts w:hint="eastAsia" w:ascii="宋体" w:hAnsi="宋体" w:cs="宋体"/>
          <w:sz w:val="24"/>
        </w:rPr>
        <w:t>2.工程量变化产生的前期费用；</w:t>
      </w:r>
    </w:p>
    <w:p>
      <w:pPr>
        <w:spacing w:line="560" w:lineRule="exact"/>
        <w:ind w:firstLine="480" w:firstLineChars="200"/>
        <w:rPr>
          <w:rFonts w:ascii="宋体" w:hAnsi="宋体" w:cs="宋体"/>
          <w:sz w:val="24"/>
        </w:rPr>
      </w:pPr>
      <w:r>
        <w:rPr>
          <w:rFonts w:hint="eastAsia" w:ascii="宋体" w:hAnsi="宋体" w:cs="宋体"/>
          <w:sz w:val="24"/>
        </w:rPr>
        <w:t>3.工程材料（设备）价格的市场波动。</w:t>
      </w:r>
    </w:p>
    <w:p>
      <w:pPr>
        <w:spacing w:line="560" w:lineRule="exact"/>
        <w:ind w:firstLine="480" w:firstLineChars="200"/>
        <w:rPr>
          <w:rFonts w:ascii="宋体" w:hAnsi="宋体" w:cs="宋体"/>
          <w:sz w:val="24"/>
        </w:rPr>
      </w:pPr>
      <w:r>
        <w:rPr>
          <w:rFonts w:hint="eastAsia" w:ascii="宋体" w:hAnsi="宋体" w:cs="宋体"/>
          <w:sz w:val="24"/>
        </w:rPr>
        <w:t>风险费用的计算方法： 综合考虑在投标综合单价内，在合同约定风险范围内不作调整。</w:t>
      </w:r>
    </w:p>
    <w:p>
      <w:pPr>
        <w:spacing w:line="560" w:lineRule="exact"/>
        <w:ind w:firstLine="480" w:firstLineChars="200"/>
        <w:rPr>
          <w:rFonts w:ascii="宋体" w:hAnsi="宋体" w:cs="宋体"/>
          <w:sz w:val="24"/>
        </w:rPr>
      </w:pPr>
      <w:r>
        <w:rPr>
          <w:rFonts w:hint="eastAsia" w:ascii="宋体" w:hAnsi="宋体" w:cs="宋体"/>
          <w:sz w:val="24"/>
        </w:rPr>
        <w:t>风险范围以外的内容：</w:t>
      </w:r>
    </w:p>
    <w:p>
      <w:pPr>
        <w:spacing w:line="560" w:lineRule="exact"/>
        <w:ind w:firstLine="480" w:firstLineChars="200"/>
        <w:rPr>
          <w:rFonts w:ascii="宋体" w:hAnsi="宋体" w:cs="宋体"/>
          <w:sz w:val="24"/>
        </w:rPr>
      </w:pPr>
      <w:r>
        <w:rPr>
          <w:rFonts w:hint="eastAsia" w:ascii="宋体" w:hAnsi="宋体" w:cs="宋体"/>
          <w:sz w:val="24"/>
        </w:rPr>
        <w:t>1.设计变更引起的工程量增减；</w:t>
      </w:r>
    </w:p>
    <w:p>
      <w:pPr>
        <w:spacing w:line="560" w:lineRule="exact"/>
        <w:ind w:firstLine="480" w:firstLineChars="200"/>
        <w:rPr>
          <w:rFonts w:ascii="宋体" w:hAnsi="宋体" w:cs="宋体"/>
          <w:sz w:val="24"/>
        </w:rPr>
      </w:pPr>
      <w:r>
        <w:rPr>
          <w:rFonts w:hint="eastAsia" w:ascii="宋体" w:hAnsi="宋体" w:cs="宋体"/>
          <w:sz w:val="24"/>
        </w:rPr>
        <w:t>2.发包人要求的承包范围以外的附加工程量；</w:t>
      </w:r>
    </w:p>
    <w:p>
      <w:pPr>
        <w:spacing w:line="560" w:lineRule="exact"/>
        <w:ind w:firstLine="480" w:firstLineChars="200"/>
        <w:rPr>
          <w:rFonts w:ascii="宋体" w:hAnsi="宋体" w:cs="宋体"/>
          <w:sz w:val="24"/>
        </w:rPr>
      </w:pPr>
      <w:r>
        <w:rPr>
          <w:rFonts w:hint="eastAsia" w:ascii="宋体" w:hAnsi="宋体" w:cs="宋体"/>
          <w:sz w:val="24"/>
        </w:rPr>
        <w:t>3.暂估价材料、暂估价项目；</w:t>
      </w:r>
    </w:p>
    <w:p>
      <w:pPr>
        <w:spacing w:line="560" w:lineRule="exact"/>
        <w:ind w:firstLine="480" w:firstLineChars="200"/>
        <w:rPr>
          <w:rFonts w:ascii="宋体" w:hAnsi="宋体" w:cs="宋体"/>
          <w:sz w:val="24"/>
        </w:rPr>
      </w:pPr>
      <w:r>
        <w:rPr>
          <w:rFonts w:hint="eastAsia" w:ascii="宋体" w:hAnsi="宋体" w:cs="宋体"/>
          <w:sz w:val="24"/>
        </w:rPr>
        <w:t>4.发包人确认的其它项目；</w:t>
      </w:r>
    </w:p>
    <w:p>
      <w:pPr>
        <w:spacing w:line="560" w:lineRule="exact"/>
        <w:ind w:firstLine="480" w:firstLineChars="200"/>
        <w:rPr>
          <w:rFonts w:ascii="宋体" w:hAnsi="宋体" w:cs="宋体"/>
          <w:sz w:val="24"/>
        </w:rPr>
      </w:pPr>
      <w:r>
        <w:rPr>
          <w:rFonts w:hint="eastAsia" w:ascii="宋体" w:hAnsi="宋体" w:cs="宋体"/>
          <w:sz w:val="24"/>
        </w:rPr>
        <w:t>5.发包人提出对乙供部分材料进行更改，引起的价差。</w:t>
      </w:r>
    </w:p>
    <w:p>
      <w:pPr>
        <w:spacing w:line="560" w:lineRule="exact"/>
        <w:ind w:firstLine="480" w:firstLineChars="200"/>
        <w:rPr>
          <w:rFonts w:ascii="宋体" w:hAnsi="宋体" w:cs="宋体"/>
          <w:sz w:val="24"/>
        </w:rPr>
      </w:pPr>
      <w:r>
        <w:rPr>
          <w:rFonts w:hint="eastAsia" w:ascii="宋体" w:hAnsi="宋体" w:cs="宋体"/>
          <w:sz w:val="24"/>
        </w:rPr>
        <w:t>风险范围以外合同价格的调整方法：</w:t>
      </w:r>
    </w:p>
    <w:p>
      <w:pPr>
        <w:spacing w:line="560" w:lineRule="exact"/>
        <w:ind w:firstLine="480" w:firstLineChars="200"/>
        <w:rPr>
          <w:rFonts w:ascii="宋体" w:hAnsi="宋体" w:cs="宋体"/>
          <w:sz w:val="24"/>
          <w:u w:val="single"/>
        </w:rPr>
      </w:pPr>
      <w:r>
        <w:rPr>
          <w:rFonts w:hint="eastAsia" w:ascii="宋体" w:hAnsi="宋体" w:cs="宋体"/>
          <w:sz w:val="24"/>
          <w:u w:val="single"/>
        </w:rPr>
        <w:t>1、工程量应由承包人按在履行合同义务过程中实际完成的工程量计算后向发包人提出，经审计单位审计后按审定数量结算。</w:t>
      </w:r>
    </w:p>
    <w:p>
      <w:pPr>
        <w:spacing w:line="560" w:lineRule="exact"/>
        <w:ind w:firstLine="480" w:firstLineChars="200"/>
        <w:rPr>
          <w:rFonts w:ascii="宋体" w:hAnsi="宋体" w:cs="宋体"/>
          <w:sz w:val="24"/>
          <w:u w:val="single"/>
        </w:rPr>
      </w:pPr>
      <w:r>
        <w:rPr>
          <w:rFonts w:hint="eastAsia" w:ascii="宋体" w:hAnsi="宋体" w:cs="宋体"/>
          <w:sz w:val="24"/>
          <w:u w:val="single"/>
        </w:rPr>
        <w:t>2、因分部分项工程量清单主要项目漏项或因业主提出的设计变更部分，增加项目及签证部分造成新增的工程量清单综合单价的结算原则为：</w:t>
      </w:r>
    </w:p>
    <w:p>
      <w:pPr>
        <w:spacing w:line="560" w:lineRule="exact"/>
        <w:ind w:firstLine="480" w:firstLineChars="200"/>
        <w:rPr>
          <w:rFonts w:ascii="宋体" w:hAnsi="宋体" w:cs="宋体"/>
          <w:sz w:val="24"/>
          <w:u w:val="single"/>
        </w:rPr>
      </w:pPr>
      <w:r>
        <w:rPr>
          <w:rFonts w:hint="eastAsia" w:ascii="宋体" w:hAnsi="宋体" w:cs="宋体"/>
          <w:sz w:val="24"/>
          <w:u w:val="single"/>
        </w:rPr>
        <w:t>a．投标书中已有适用于变更工程的综合单价，按投标书中已有的综合单价结算；</w:t>
      </w:r>
    </w:p>
    <w:p>
      <w:pPr>
        <w:spacing w:line="560" w:lineRule="exact"/>
        <w:ind w:firstLine="480" w:firstLineChars="200"/>
        <w:rPr>
          <w:rFonts w:ascii="宋体" w:hAnsi="宋体" w:cs="宋体"/>
          <w:sz w:val="24"/>
          <w:u w:val="single"/>
        </w:rPr>
      </w:pPr>
      <w:r>
        <w:rPr>
          <w:rFonts w:hint="eastAsia" w:ascii="宋体" w:hAnsi="宋体" w:cs="宋体"/>
          <w:sz w:val="24"/>
          <w:u w:val="single"/>
        </w:rPr>
        <w:t>b．投标书中有类似于变更工程的综合单价，按投标书中已有的类似的综合单价作相应调整后结算；</w:t>
      </w:r>
    </w:p>
    <w:p>
      <w:pPr>
        <w:spacing w:line="560" w:lineRule="exact"/>
        <w:ind w:firstLine="480" w:firstLineChars="200"/>
        <w:rPr>
          <w:rFonts w:ascii="宋体" w:hAnsi="宋体" w:cs="宋体"/>
          <w:sz w:val="24"/>
        </w:rPr>
      </w:pPr>
      <w:r>
        <w:rPr>
          <w:rFonts w:hint="eastAsia" w:ascii="宋体" w:hAnsi="宋体" w:cs="宋体"/>
          <w:sz w:val="24"/>
          <w:u w:val="single"/>
        </w:rPr>
        <w:t>c．投标书中无类似综合单价，结算原则为：依据《建设工程工程量清单计价规范》（GB50500-2013）、《江苏省市政工程计价定额》(2014版)、《江苏省安装工程计价定额》（2014）、《2014年江苏省建筑与装饰工程计价表》、《2014年费用定额》等相关计价规范中的标准，料价格按工程实施期间的常州信息指导价（除税指导价）（无信息价的按确认价），并按中标让利率同步下浮{即：让利率=【1-（投标总价-不可竞争费）/（标底总价-不可竞争费）】*100%}，材料价格按工程实施期间的常州信息指导价（无信息价的按确认价，材料价均为除税价），根据上述要求编制综合单价报发包人确认【不可竞争费用包括暂列金额、暂定价】。</w:t>
      </w:r>
    </w:p>
    <w:p>
      <w:pPr>
        <w:spacing w:line="560" w:lineRule="exact"/>
        <w:ind w:firstLine="480" w:firstLineChars="200"/>
        <w:rPr>
          <w:rFonts w:ascii="宋体" w:hAnsi="宋体" w:cs="宋体"/>
          <w:sz w:val="24"/>
        </w:rPr>
      </w:pPr>
      <w:r>
        <w:rPr>
          <w:rFonts w:hint="eastAsia" w:ascii="宋体" w:hAnsi="宋体" w:cs="宋体"/>
          <w:sz w:val="24"/>
        </w:rPr>
        <w:t>2、其他价格方式：</w:t>
      </w:r>
      <w:r>
        <w:rPr>
          <w:rFonts w:hint="eastAsia" w:ascii="宋体" w:hAnsi="宋体" w:cs="宋体"/>
          <w:sz w:val="24"/>
          <w:u w:val="single"/>
        </w:rPr>
        <w:t>/</w:t>
      </w:r>
      <w:r>
        <w:rPr>
          <w:rFonts w:hint="eastAsia" w:ascii="宋体" w:hAnsi="宋体" w:cs="宋体"/>
          <w:sz w:val="24"/>
        </w:rPr>
        <w:t>。</w:t>
      </w:r>
    </w:p>
    <w:p>
      <w:pPr>
        <w:spacing w:line="560" w:lineRule="exact"/>
        <w:ind w:firstLine="480" w:firstLineChars="200"/>
        <w:rPr>
          <w:rFonts w:ascii="宋体" w:hAnsi="宋体" w:cs="宋体"/>
          <w:sz w:val="24"/>
        </w:rPr>
      </w:pPr>
      <w:bookmarkStart w:id="1025" w:name="_Toc303539161"/>
      <w:bookmarkStart w:id="1026" w:name="_Toc300935004"/>
      <w:bookmarkStart w:id="1027" w:name="_Toc297123554"/>
      <w:bookmarkStart w:id="1028" w:name="_Toc304295581"/>
      <w:bookmarkStart w:id="1029" w:name="_Toc297216213"/>
      <w:bookmarkStart w:id="1030" w:name="_Toc312678042"/>
      <w:bookmarkStart w:id="1031" w:name="_Toc292559412"/>
      <w:bookmarkStart w:id="1032" w:name="_Toc296891035"/>
      <w:bookmarkStart w:id="1033" w:name="_Toc296944546"/>
      <w:bookmarkStart w:id="1034" w:name="_Toc297120507"/>
      <w:bookmarkStart w:id="1035" w:name="_Toc296346708"/>
      <w:bookmarkStart w:id="1036" w:name="_Toc296347206"/>
      <w:bookmarkStart w:id="1037" w:name="_Toc297048393"/>
      <w:bookmarkStart w:id="1038" w:name="_Toc292559917"/>
      <w:bookmarkStart w:id="1039" w:name="_Toc296503207"/>
      <w:bookmarkStart w:id="1040" w:name="_Toc296891247"/>
      <w:r>
        <w:rPr>
          <w:rFonts w:hint="eastAsia" w:ascii="宋体" w:hAnsi="宋体" w:cs="宋体"/>
          <w:sz w:val="24"/>
        </w:rPr>
        <w:t>12.2 预付款</w:t>
      </w:r>
    </w:p>
    <w:bookmarkEnd w:id="1025"/>
    <w:bookmarkEnd w:id="1026"/>
    <w:bookmarkEnd w:id="1027"/>
    <w:bookmarkEnd w:id="1028"/>
    <w:bookmarkEnd w:id="1029"/>
    <w:bookmarkEnd w:id="1030"/>
    <w:p>
      <w:pPr>
        <w:spacing w:line="560" w:lineRule="exact"/>
        <w:ind w:firstLine="480" w:firstLineChars="200"/>
        <w:rPr>
          <w:rFonts w:ascii="宋体" w:hAnsi="宋体" w:cs="宋体"/>
          <w:sz w:val="24"/>
        </w:rPr>
      </w:pPr>
      <w:r>
        <w:rPr>
          <w:rFonts w:hint="eastAsia" w:ascii="宋体" w:hAnsi="宋体" w:cs="宋体"/>
          <w:sz w:val="24"/>
        </w:rPr>
        <w:t>12.2.1 预付款的支付</w:t>
      </w:r>
    </w:p>
    <w:p>
      <w:pPr>
        <w:spacing w:line="560" w:lineRule="exact"/>
        <w:ind w:firstLine="480" w:firstLineChars="200"/>
        <w:rPr>
          <w:rFonts w:ascii="宋体" w:hAnsi="宋体" w:cs="宋体"/>
          <w:sz w:val="24"/>
        </w:rPr>
      </w:pPr>
      <w:r>
        <w:rPr>
          <w:rFonts w:hint="eastAsia" w:ascii="宋体" w:hAnsi="宋体" w:cs="宋体"/>
          <w:sz w:val="24"/>
        </w:rPr>
        <w:t>预付款支付比例或金额：</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预付款支付期限：</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12.2.2 预付款担保</w:t>
      </w:r>
    </w:p>
    <w:p>
      <w:pPr>
        <w:spacing w:line="560" w:lineRule="exact"/>
        <w:ind w:firstLine="480" w:firstLineChars="200"/>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w:t>
      </w:r>
      <w:r>
        <w:rPr>
          <w:rFonts w:hint="eastAsia" w:ascii="宋体" w:hAnsi="宋体" w:cs="宋体"/>
          <w:sz w:val="24"/>
        </w:rPr>
        <w:t>。</w:t>
      </w:r>
    </w:p>
    <w:bookmarkEnd w:id="1031"/>
    <w:bookmarkEnd w:id="1032"/>
    <w:bookmarkEnd w:id="1033"/>
    <w:bookmarkEnd w:id="1034"/>
    <w:bookmarkEnd w:id="1035"/>
    <w:bookmarkEnd w:id="1036"/>
    <w:bookmarkEnd w:id="1037"/>
    <w:bookmarkEnd w:id="1038"/>
    <w:bookmarkEnd w:id="1039"/>
    <w:bookmarkEnd w:id="1040"/>
    <w:p>
      <w:pPr>
        <w:spacing w:line="560" w:lineRule="exact"/>
        <w:ind w:firstLine="480" w:firstLineChars="200"/>
        <w:rPr>
          <w:rFonts w:ascii="宋体" w:hAnsi="宋体" w:cs="宋体"/>
          <w:sz w:val="24"/>
        </w:rPr>
      </w:pPr>
      <w:r>
        <w:rPr>
          <w:rFonts w:hint="eastAsia" w:ascii="宋体" w:hAnsi="宋体" w:cs="宋体"/>
          <w:sz w:val="24"/>
        </w:rPr>
        <w:t>12.3 计量</w:t>
      </w:r>
    </w:p>
    <w:p>
      <w:pPr>
        <w:spacing w:line="560" w:lineRule="exact"/>
        <w:ind w:firstLine="480" w:firstLineChars="200"/>
        <w:rPr>
          <w:rFonts w:ascii="宋体" w:hAnsi="宋体" w:cs="宋体"/>
          <w:sz w:val="24"/>
        </w:rPr>
      </w:pPr>
      <w:r>
        <w:rPr>
          <w:rFonts w:hint="eastAsia" w:ascii="宋体" w:hAnsi="宋体" w:cs="宋体"/>
          <w:sz w:val="24"/>
        </w:rPr>
        <w:t>12.3.1 计量原则</w:t>
      </w:r>
    </w:p>
    <w:p>
      <w:pPr>
        <w:spacing w:line="560" w:lineRule="exact"/>
        <w:ind w:firstLine="480" w:firstLineChars="200"/>
        <w:rPr>
          <w:rFonts w:ascii="宋体" w:hAnsi="宋体" w:cs="宋体"/>
          <w:sz w:val="24"/>
          <w:u w:val="single"/>
        </w:rPr>
      </w:pPr>
      <w:r>
        <w:rPr>
          <w:rFonts w:hint="eastAsia" w:ascii="宋体" w:hAnsi="宋体" w:cs="宋体"/>
          <w:sz w:val="24"/>
        </w:rPr>
        <w:t>工程量计算规则：</w:t>
      </w:r>
      <w:r>
        <w:rPr>
          <w:rFonts w:hint="eastAsia" w:ascii="宋体" w:hAnsi="宋体" w:cs="宋体"/>
          <w:sz w:val="24"/>
          <w:u w:val="single"/>
        </w:rPr>
        <w:t>执行国家标准《建设工程工程量清单计价规范》(GB50500-2013)或其适用的修订版本，承包人实际完成的工程量按约定的工程量计算规则和有合同约束力的图纸进行计量。</w:t>
      </w:r>
    </w:p>
    <w:p>
      <w:pPr>
        <w:spacing w:line="560" w:lineRule="exact"/>
        <w:ind w:firstLine="480" w:firstLineChars="200"/>
        <w:rPr>
          <w:rFonts w:ascii="宋体" w:hAnsi="宋体" w:cs="宋体"/>
          <w:sz w:val="24"/>
        </w:rPr>
      </w:pPr>
      <w:r>
        <w:rPr>
          <w:rFonts w:hint="eastAsia" w:ascii="宋体" w:hAnsi="宋体" w:cs="宋体"/>
          <w:sz w:val="24"/>
        </w:rPr>
        <w:t>12.3.2 计量周期</w:t>
      </w:r>
    </w:p>
    <w:p>
      <w:pPr>
        <w:spacing w:line="560" w:lineRule="exact"/>
        <w:ind w:firstLine="480" w:firstLineChars="200"/>
        <w:rPr>
          <w:rFonts w:ascii="宋体" w:hAnsi="宋体" w:cs="宋体"/>
          <w:sz w:val="24"/>
          <w:u w:val="single"/>
        </w:rPr>
      </w:pPr>
      <w:r>
        <w:rPr>
          <w:rFonts w:hint="eastAsia" w:ascii="宋体" w:hAnsi="宋体" w:cs="宋体"/>
          <w:sz w:val="24"/>
        </w:rPr>
        <w:t>关于计量周期的约定</w:t>
      </w:r>
      <w:r>
        <w:rPr>
          <w:rFonts w:hint="eastAsia" w:ascii="宋体" w:hAnsi="宋体" w:cs="宋体"/>
          <w:sz w:val="24"/>
          <w:u w:val="single"/>
        </w:rPr>
        <w:t>： 本合同的计量周期为月，每月 25日为当月计量截止日期(不含当日)和下月计量起始日期(含当日)。</w:t>
      </w:r>
    </w:p>
    <w:p>
      <w:pPr>
        <w:spacing w:line="560" w:lineRule="exact"/>
        <w:ind w:firstLine="480" w:firstLineChars="200"/>
        <w:rPr>
          <w:rFonts w:ascii="宋体" w:hAnsi="宋体" w:cs="宋体"/>
          <w:sz w:val="24"/>
        </w:rPr>
      </w:pPr>
      <w:r>
        <w:rPr>
          <w:rFonts w:hint="eastAsia" w:ascii="宋体" w:hAnsi="宋体" w:cs="宋体"/>
          <w:sz w:val="24"/>
        </w:rPr>
        <w:t>12.3.3 单价合同的计量</w:t>
      </w:r>
    </w:p>
    <w:p>
      <w:pPr>
        <w:spacing w:line="560" w:lineRule="exact"/>
        <w:ind w:firstLine="480" w:firstLineChars="200"/>
        <w:rPr>
          <w:rFonts w:ascii="宋体" w:hAnsi="宋体" w:cs="宋体"/>
          <w:sz w:val="24"/>
        </w:rPr>
      </w:pPr>
      <w:r>
        <w:rPr>
          <w:rFonts w:hint="eastAsia" w:ascii="宋体" w:hAnsi="宋体" w:cs="宋体"/>
          <w:sz w:val="24"/>
        </w:rPr>
        <w:t>关于单价合同计量的约定：</w:t>
      </w:r>
      <w:r>
        <w:rPr>
          <w:rFonts w:hint="eastAsia" w:ascii="宋体" w:hAnsi="宋体" w:cs="宋体"/>
          <w:sz w:val="24"/>
          <w:u w:val="single"/>
        </w:rPr>
        <w:t>按通用条款执行。</w:t>
      </w:r>
    </w:p>
    <w:p>
      <w:pPr>
        <w:spacing w:line="560" w:lineRule="exact"/>
        <w:ind w:firstLine="480" w:firstLineChars="200"/>
        <w:rPr>
          <w:rFonts w:ascii="宋体" w:hAnsi="宋体" w:cs="宋体"/>
          <w:sz w:val="24"/>
        </w:rPr>
      </w:pPr>
      <w:r>
        <w:rPr>
          <w:rFonts w:hint="eastAsia" w:ascii="宋体" w:hAnsi="宋体" w:cs="宋体"/>
          <w:sz w:val="24"/>
        </w:rPr>
        <w:t>12.3.4 总价合同的计量</w:t>
      </w:r>
    </w:p>
    <w:p>
      <w:pPr>
        <w:spacing w:line="560" w:lineRule="exact"/>
        <w:ind w:firstLine="480" w:firstLineChars="200"/>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12.3.5总价合同采用支付分解表计量支付的，是否适用第12.3.4 项〔总价合同的计量〕约定进行计量：</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12.3.6 其他价格形式合同的计量</w:t>
      </w:r>
    </w:p>
    <w:p>
      <w:pPr>
        <w:spacing w:line="560" w:lineRule="exact"/>
        <w:ind w:firstLine="480" w:firstLineChars="200"/>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12.4 工程进度款支付</w:t>
      </w:r>
    </w:p>
    <w:p>
      <w:pPr>
        <w:spacing w:line="560" w:lineRule="exact"/>
        <w:ind w:firstLine="480" w:firstLineChars="200"/>
        <w:rPr>
          <w:rFonts w:ascii="宋体" w:hAnsi="宋体" w:cs="宋体"/>
          <w:color w:val="000000"/>
          <w:sz w:val="24"/>
        </w:rPr>
      </w:pPr>
      <w:bookmarkStart w:id="1041" w:name="_Toc296944550"/>
      <w:bookmarkStart w:id="1042" w:name="_Toc292559921"/>
      <w:bookmarkStart w:id="1043" w:name="_Toc300935006"/>
      <w:bookmarkStart w:id="1044" w:name="_Toc297120511"/>
      <w:bookmarkStart w:id="1045" w:name="_Toc303539163"/>
      <w:bookmarkStart w:id="1046" w:name="_Toc296346712"/>
      <w:bookmarkStart w:id="1047" w:name="_Toc296347210"/>
      <w:bookmarkStart w:id="1048" w:name="_Toc292559416"/>
      <w:bookmarkStart w:id="1049" w:name="_Toc297048397"/>
      <w:bookmarkStart w:id="1050" w:name="_Toc297216215"/>
      <w:bookmarkStart w:id="1051" w:name="_Toc296891251"/>
      <w:bookmarkStart w:id="1052" w:name="_Toc297123556"/>
      <w:bookmarkStart w:id="1053" w:name="_Toc296891039"/>
      <w:bookmarkStart w:id="1054" w:name="_Toc296503211"/>
      <w:r>
        <w:rPr>
          <w:rFonts w:hint="eastAsia" w:ascii="宋体" w:hAnsi="宋体" w:cs="宋体"/>
          <w:sz w:val="24"/>
        </w:rPr>
        <w:t>12.4.1 付款</w:t>
      </w:r>
      <w:r>
        <w:rPr>
          <w:rFonts w:hint="eastAsia" w:ascii="宋体" w:hAnsi="宋体" w:cs="宋体"/>
          <w:color w:val="000000"/>
          <w:sz w:val="24"/>
        </w:rPr>
        <w:t>周期</w:t>
      </w:r>
    </w:p>
    <w:p>
      <w:pPr>
        <w:spacing w:line="560" w:lineRule="exact"/>
        <w:ind w:firstLine="480" w:firstLineChars="200"/>
        <w:rPr>
          <w:rFonts w:ascii="宋体" w:hAnsi="宋体" w:cs="宋体"/>
          <w:color w:val="auto"/>
          <w:sz w:val="24"/>
        </w:rPr>
      </w:pPr>
      <w:r>
        <w:rPr>
          <w:rFonts w:hint="eastAsia" w:ascii="宋体" w:hAnsi="宋体" w:cs="宋体"/>
          <w:color w:val="auto"/>
          <w:sz w:val="24"/>
        </w:rPr>
        <w:t>关于付款周期的约定：</w:t>
      </w:r>
    </w:p>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Pr>
        <w:spacing w:line="560" w:lineRule="exact"/>
        <w:ind w:firstLine="480" w:firstLineChars="200"/>
        <w:rPr>
          <w:rFonts w:hint="eastAsia" w:hAnsi="宋体" w:cs="宋体"/>
          <w:color w:val="auto"/>
          <w:kern w:val="0"/>
          <w:sz w:val="24"/>
          <w:highlight w:val="none"/>
        </w:rPr>
      </w:pPr>
      <w:r>
        <w:rPr>
          <w:rFonts w:hint="eastAsia" w:hAnsi="宋体" w:cs="宋体"/>
          <w:color w:val="auto"/>
          <w:kern w:val="0"/>
          <w:sz w:val="24"/>
          <w:highlight w:val="none"/>
        </w:rPr>
        <w:t>工程竣工验收合格后支付合同价款（扣除暂列金额）的</w:t>
      </w:r>
      <w:r>
        <w:rPr>
          <w:rFonts w:hint="eastAsia" w:hAnsi="宋体" w:cs="宋体"/>
          <w:color w:val="auto"/>
          <w:kern w:val="0"/>
          <w:sz w:val="24"/>
          <w:highlight w:val="none"/>
          <w:lang w:val="en-US" w:eastAsia="zh-CN"/>
        </w:rPr>
        <w:t>40</w:t>
      </w:r>
      <w:r>
        <w:rPr>
          <w:rFonts w:hint="eastAsia" w:hAnsi="宋体" w:cs="宋体"/>
          <w:color w:val="auto"/>
          <w:kern w:val="0"/>
          <w:sz w:val="24"/>
          <w:highlight w:val="none"/>
        </w:rPr>
        <w:t>%，竣工验收合格</w:t>
      </w:r>
      <w:r>
        <w:rPr>
          <w:rFonts w:hint="eastAsia" w:hAnsi="宋体" w:cs="宋体"/>
          <w:color w:val="auto"/>
          <w:kern w:val="0"/>
          <w:sz w:val="24"/>
          <w:highlight w:val="none"/>
          <w:lang w:eastAsia="zh-CN"/>
        </w:rPr>
        <w:t>满一年且</w:t>
      </w:r>
      <w:r>
        <w:rPr>
          <w:rFonts w:hint="eastAsia" w:hAnsi="宋体" w:cs="宋体"/>
          <w:color w:val="auto"/>
          <w:kern w:val="0"/>
          <w:sz w:val="24"/>
          <w:highlight w:val="none"/>
        </w:rPr>
        <w:t>经审计后支付至审计价款的</w:t>
      </w:r>
      <w:r>
        <w:rPr>
          <w:rFonts w:hint="eastAsia" w:hAnsi="宋体" w:cs="宋体"/>
          <w:color w:val="auto"/>
          <w:kern w:val="0"/>
          <w:sz w:val="24"/>
          <w:highlight w:val="none"/>
          <w:lang w:val="en-US" w:eastAsia="zh-CN"/>
        </w:rPr>
        <w:t>70</w:t>
      </w:r>
      <w:r>
        <w:rPr>
          <w:rFonts w:hint="eastAsia" w:hAnsi="宋体" w:cs="宋体"/>
          <w:color w:val="auto"/>
          <w:kern w:val="0"/>
          <w:sz w:val="24"/>
          <w:highlight w:val="none"/>
        </w:rPr>
        <w:t>%，竣工验收合格</w:t>
      </w:r>
      <w:r>
        <w:rPr>
          <w:rFonts w:hint="eastAsia" w:hAnsi="宋体" w:cs="宋体"/>
          <w:color w:val="auto"/>
          <w:kern w:val="0"/>
          <w:sz w:val="24"/>
          <w:highlight w:val="none"/>
          <w:lang w:eastAsia="zh-CN"/>
        </w:rPr>
        <w:t>满两年</w:t>
      </w:r>
      <w:r>
        <w:rPr>
          <w:rFonts w:hint="eastAsia" w:hAnsi="宋体" w:cs="宋体"/>
          <w:color w:val="auto"/>
          <w:kern w:val="0"/>
          <w:sz w:val="24"/>
          <w:highlight w:val="none"/>
        </w:rPr>
        <w:t>付清余款。</w:t>
      </w:r>
    </w:p>
    <w:p>
      <w:pPr>
        <w:spacing w:line="560" w:lineRule="exact"/>
        <w:ind w:firstLine="480" w:firstLineChars="200"/>
        <w:rPr>
          <w:rFonts w:ascii="宋体" w:hAnsi="宋体" w:cs="宋体"/>
          <w:sz w:val="24"/>
        </w:rPr>
      </w:pPr>
      <w:r>
        <w:rPr>
          <w:rFonts w:hint="eastAsia" w:ascii="宋体" w:hAnsi="宋体" w:cs="宋体"/>
          <w:sz w:val="24"/>
        </w:rPr>
        <w:t>12.4.2 进度付款申请单的编制</w:t>
      </w:r>
    </w:p>
    <w:p>
      <w:pPr>
        <w:spacing w:line="560" w:lineRule="exact"/>
        <w:ind w:firstLine="480" w:firstLineChars="200"/>
        <w:rPr>
          <w:rFonts w:ascii="宋体" w:hAnsi="宋体" w:cs="宋体"/>
          <w:sz w:val="24"/>
        </w:rPr>
      </w:pPr>
      <w:r>
        <w:rPr>
          <w:rFonts w:hint="eastAsia" w:ascii="宋体" w:hAnsi="宋体" w:cs="宋体"/>
          <w:sz w:val="24"/>
        </w:rPr>
        <w:t>关于进度付款申请单编制的约定：</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12.4.3 进度付款申请单的提交</w:t>
      </w:r>
    </w:p>
    <w:p>
      <w:pPr>
        <w:numPr>
          <w:ilvl w:val="0"/>
          <w:numId w:val="15"/>
        </w:numPr>
        <w:spacing w:line="560" w:lineRule="exact"/>
        <w:ind w:firstLine="480" w:firstLineChars="200"/>
        <w:rPr>
          <w:rFonts w:ascii="宋体" w:hAnsi="宋体" w:cs="宋体"/>
          <w:sz w:val="24"/>
        </w:rPr>
      </w:pPr>
      <w:r>
        <w:rPr>
          <w:rFonts w:hint="eastAsia" w:ascii="宋体" w:hAnsi="宋体" w:cs="宋体"/>
          <w:sz w:val="24"/>
        </w:rPr>
        <w:t>单价合同进度付款申请单提交的约定：</w:t>
      </w:r>
      <w:r>
        <w:rPr>
          <w:rFonts w:hint="eastAsia" w:ascii="宋体" w:hAnsi="宋体" w:cs="宋体"/>
          <w:sz w:val="24"/>
          <w:u w:val="single"/>
        </w:rPr>
        <w:t xml:space="preserve"> / </w:t>
      </w:r>
      <w:r>
        <w:rPr>
          <w:rFonts w:hint="eastAsia" w:ascii="宋体" w:hAnsi="宋体" w:cs="宋体"/>
          <w:sz w:val="24"/>
        </w:rPr>
        <w:t>。</w:t>
      </w:r>
    </w:p>
    <w:p>
      <w:pPr>
        <w:numPr>
          <w:ilvl w:val="0"/>
          <w:numId w:val="15"/>
        </w:numPr>
        <w:spacing w:line="560" w:lineRule="exact"/>
        <w:ind w:firstLine="480" w:firstLineChars="200"/>
        <w:rPr>
          <w:rFonts w:ascii="宋体" w:hAnsi="宋体" w:cs="宋体"/>
          <w:sz w:val="24"/>
        </w:rPr>
      </w:pPr>
      <w:r>
        <w:rPr>
          <w:rFonts w:hint="eastAsia" w:ascii="宋体" w:hAnsi="宋体" w:cs="宋体"/>
          <w:sz w:val="24"/>
        </w:rPr>
        <w:t>总价合同进度付款申请单提交的约定：</w:t>
      </w:r>
      <w:r>
        <w:rPr>
          <w:rFonts w:hint="eastAsia" w:ascii="宋体" w:hAnsi="宋体" w:cs="宋体"/>
          <w:sz w:val="24"/>
          <w:u w:val="single"/>
        </w:rPr>
        <w:t xml:space="preserve"> /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12.4.4 进度款审核和支付</w:t>
      </w:r>
    </w:p>
    <w:p>
      <w:pPr>
        <w:spacing w:line="560" w:lineRule="exact"/>
        <w:ind w:firstLine="480" w:firstLineChars="200"/>
        <w:rPr>
          <w:rFonts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w:t>
      </w:r>
    </w:p>
    <w:p>
      <w:pPr>
        <w:spacing w:line="560" w:lineRule="exact"/>
        <w:ind w:firstLine="480" w:firstLineChars="200"/>
        <w:rPr>
          <w:rFonts w:ascii="宋体" w:hAnsi="宋体" w:cs="宋体"/>
          <w:sz w:val="24"/>
        </w:rPr>
      </w:pPr>
      <w:r>
        <w:rPr>
          <w:rFonts w:hint="eastAsia" w:ascii="宋体" w:hAnsi="宋体" w:cs="宋体"/>
          <w:sz w:val="24"/>
        </w:rPr>
        <w:t>12.4.6 支付分解表的编制</w:t>
      </w:r>
    </w:p>
    <w:p>
      <w:pPr>
        <w:spacing w:line="560" w:lineRule="exact"/>
        <w:ind w:firstLine="480" w:firstLineChars="200"/>
        <w:rPr>
          <w:rFonts w:ascii="宋体" w:hAnsi="宋体" w:cs="宋体"/>
          <w:sz w:val="24"/>
          <w:u w:val="single"/>
        </w:rPr>
      </w:pPr>
      <w:r>
        <w:rPr>
          <w:rFonts w:hint="eastAsia" w:ascii="宋体" w:hAnsi="宋体" w:cs="宋体"/>
          <w:sz w:val="24"/>
        </w:rPr>
        <w:t>2、总价合同支付分解表的编制与审批：</w:t>
      </w:r>
      <w:r>
        <w:rPr>
          <w:rFonts w:hint="eastAsia" w:ascii="宋体" w:hAnsi="宋体" w:cs="宋体"/>
          <w:sz w:val="24"/>
          <w:u w:val="single"/>
        </w:rPr>
        <w:t xml:space="preserve">/ </w:t>
      </w:r>
    </w:p>
    <w:p>
      <w:pPr>
        <w:spacing w:line="560" w:lineRule="exact"/>
        <w:ind w:firstLine="480" w:firstLineChars="200"/>
        <w:rPr>
          <w:rFonts w:ascii="宋体" w:hAnsi="宋体" w:cs="宋体"/>
          <w:color w:val="000000"/>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color w:val="000000"/>
          <w:sz w:val="24"/>
        </w:rPr>
        <w:t>。</w:t>
      </w:r>
    </w:p>
    <w:bookmarkEnd w:id="973"/>
    <w:p>
      <w:pPr>
        <w:spacing w:line="560" w:lineRule="exact"/>
        <w:ind w:firstLine="480" w:firstLineChars="200"/>
        <w:rPr>
          <w:rFonts w:ascii="宋体" w:hAnsi="宋体" w:cs="宋体"/>
          <w:sz w:val="24"/>
        </w:rPr>
      </w:pPr>
      <w:bookmarkStart w:id="1055" w:name="_Toc297048405"/>
      <w:bookmarkStart w:id="1056" w:name="_Toc312678053"/>
      <w:bookmarkStart w:id="1057" w:name="_Toc296944558"/>
      <w:bookmarkStart w:id="1058" w:name="_Toc292559424"/>
      <w:bookmarkStart w:id="1059" w:name="_Toc297123564"/>
      <w:bookmarkStart w:id="1060" w:name="_Toc304295593"/>
      <w:bookmarkStart w:id="1061" w:name="_Toc303539172"/>
      <w:bookmarkStart w:id="1062" w:name="_Toc296347218"/>
      <w:bookmarkStart w:id="1063" w:name="_Toc296891259"/>
      <w:bookmarkStart w:id="1064" w:name="_Toc296891047"/>
      <w:bookmarkStart w:id="1065" w:name="_Toc296503219"/>
      <w:bookmarkStart w:id="1066" w:name="_Toc297216223"/>
      <w:bookmarkStart w:id="1067" w:name="_Toc292559929"/>
      <w:bookmarkStart w:id="1068" w:name="_Toc297120519"/>
      <w:bookmarkStart w:id="1069" w:name="_Toc300935015"/>
      <w:bookmarkStart w:id="1070" w:name="_Toc296346720"/>
      <w:bookmarkStart w:id="1071" w:name="_Toc489620096"/>
      <w:r>
        <w:rPr>
          <w:rFonts w:hint="eastAsia" w:ascii="宋体" w:hAnsi="宋体" w:cs="宋体"/>
          <w:sz w:val="24"/>
        </w:rPr>
        <w:t xml:space="preserve">13. </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Start w:id="1072" w:name="_Toc267251471"/>
      <w:bookmarkStart w:id="1073" w:name="_Toc267251470"/>
      <w:bookmarkStart w:id="1074" w:name="_Toc267251475"/>
      <w:bookmarkStart w:id="1075" w:name="_Toc280868709"/>
      <w:bookmarkStart w:id="1076" w:name="_Toc267251473"/>
      <w:bookmarkStart w:id="1077" w:name="_Toc267251476"/>
      <w:bookmarkStart w:id="1078" w:name="_Toc267251474"/>
      <w:bookmarkStart w:id="1079" w:name="_Toc267251472"/>
      <w:r>
        <w:rPr>
          <w:rFonts w:hint="eastAsia" w:ascii="宋体" w:hAnsi="宋体" w:cs="宋体"/>
          <w:sz w:val="24"/>
        </w:rPr>
        <w:t>验收和工程试车</w:t>
      </w:r>
      <w:bookmarkEnd w:id="1071"/>
    </w:p>
    <w:p>
      <w:pPr>
        <w:spacing w:line="560" w:lineRule="exact"/>
        <w:ind w:firstLine="480" w:firstLineChars="200"/>
        <w:rPr>
          <w:rFonts w:ascii="宋体" w:hAnsi="宋体" w:cs="宋体"/>
          <w:sz w:val="24"/>
        </w:rPr>
      </w:pPr>
      <w:r>
        <w:rPr>
          <w:rFonts w:hint="eastAsia" w:ascii="宋体" w:hAnsi="宋体" w:cs="宋体"/>
          <w:sz w:val="24"/>
        </w:rPr>
        <w:t>13.1 分部分项工程验收</w:t>
      </w:r>
    </w:p>
    <w:p>
      <w:pPr>
        <w:spacing w:line="560" w:lineRule="exact"/>
        <w:ind w:firstLine="480" w:firstLineChars="200"/>
        <w:rPr>
          <w:rFonts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24  </w:t>
      </w:r>
      <w:r>
        <w:rPr>
          <w:rFonts w:hint="eastAsia" w:ascii="宋体" w:hAnsi="宋体" w:cs="宋体"/>
          <w:sz w:val="24"/>
        </w:rPr>
        <w:t>小时提交书面延期要求。</w:t>
      </w:r>
    </w:p>
    <w:p>
      <w:pPr>
        <w:spacing w:line="560" w:lineRule="exact"/>
        <w:ind w:firstLine="480" w:firstLineChars="200"/>
        <w:rPr>
          <w:rFonts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pPr>
        <w:spacing w:line="560" w:lineRule="exact"/>
        <w:ind w:firstLine="480" w:firstLineChars="200"/>
        <w:rPr>
          <w:rFonts w:ascii="宋体" w:hAnsi="宋体" w:cs="宋体"/>
          <w:sz w:val="24"/>
        </w:rPr>
      </w:pPr>
      <w:bookmarkStart w:id="1080" w:name="_Toc296891051"/>
      <w:bookmarkStart w:id="1081" w:name="_Toc304295596"/>
      <w:bookmarkStart w:id="1082" w:name="_Toc296347222"/>
      <w:bookmarkStart w:id="1083" w:name="_Toc303539173"/>
      <w:bookmarkStart w:id="1084" w:name="_Toc292559933"/>
      <w:bookmarkStart w:id="1085" w:name="_Toc296503223"/>
      <w:bookmarkStart w:id="1086" w:name="_Toc297048409"/>
      <w:bookmarkStart w:id="1087" w:name="_Toc312678056"/>
      <w:bookmarkStart w:id="1088" w:name="_Toc297120523"/>
      <w:bookmarkStart w:id="1089" w:name="_Toc296891263"/>
      <w:bookmarkStart w:id="1090" w:name="_Toc296346724"/>
      <w:bookmarkStart w:id="1091" w:name="_Toc292559428"/>
      <w:bookmarkStart w:id="1092" w:name="_Toc300935016"/>
      <w:bookmarkStart w:id="1093" w:name="_Toc297123565"/>
      <w:bookmarkStart w:id="1094" w:name="_Toc296944562"/>
      <w:bookmarkStart w:id="1095" w:name="_Toc297216224"/>
      <w:r>
        <w:rPr>
          <w:rFonts w:hint="eastAsia" w:ascii="宋体" w:hAnsi="宋体" w:cs="宋体"/>
          <w:sz w:val="24"/>
        </w:rPr>
        <w:t>13.2 竣工验收</w:t>
      </w:r>
    </w:p>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Pr>
        <w:spacing w:line="560" w:lineRule="exact"/>
        <w:ind w:firstLine="480" w:firstLineChars="200"/>
        <w:rPr>
          <w:rFonts w:ascii="宋体" w:hAnsi="宋体" w:cs="宋体"/>
          <w:sz w:val="24"/>
        </w:rPr>
      </w:pPr>
      <w:bookmarkStart w:id="1096" w:name="_Toc280868704"/>
      <w:bookmarkStart w:id="1097" w:name="_Toc280868705"/>
      <w:bookmarkStart w:id="1098" w:name="_Toc280868706"/>
      <w:bookmarkStart w:id="1099" w:name="_Toc280868707"/>
      <w:bookmarkStart w:id="1100" w:name="_Toc280868708"/>
      <w:r>
        <w:rPr>
          <w:rFonts w:hint="eastAsia" w:ascii="宋体" w:hAnsi="宋体" w:cs="宋体"/>
          <w:sz w:val="24"/>
        </w:rPr>
        <w:t>13.2.2竣工验收程序</w:t>
      </w:r>
    </w:p>
    <w:bookmarkEnd w:id="1096"/>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关于竣工验收程序的约定：</w:t>
      </w:r>
      <w:r>
        <w:rPr>
          <w:rFonts w:hint="eastAsia" w:ascii="宋体" w:hAnsi="宋体" w:cs="宋体"/>
          <w:sz w:val="24"/>
          <w:u w:val="single"/>
        </w:rPr>
        <w:t xml:space="preserve"> 按通用条款。</w:t>
      </w:r>
    </w:p>
    <w:p>
      <w:pPr>
        <w:spacing w:line="560" w:lineRule="exact"/>
        <w:ind w:firstLine="480" w:firstLineChars="200"/>
        <w:rPr>
          <w:rFonts w:ascii="宋体" w:hAnsi="宋体" w:cs="宋体"/>
          <w:sz w:val="24"/>
        </w:rPr>
      </w:pPr>
      <w:r>
        <w:rPr>
          <w:rFonts w:hint="eastAsia" w:ascii="宋体" w:hAnsi="宋体" w:cs="宋体"/>
          <w:sz w:val="24"/>
        </w:rPr>
        <w:t>发包人不按照本项约定组织竣工验收、颁发工程接收证书的违约金的计算方法：</w:t>
      </w:r>
      <w:r>
        <w:rPr>
          <w:rFonts w:hint="eastAsia" w:ascii="宋体" w:hAnsi="宋体" w:cs="宋体"/>
          <w:sz w:val="24"/>
          <w:u w:val="single"/>
        </w:rPr>
        <w:t>/</w:t>
      </w:r>
      <w:r>
        <w:rPr>
          <w:rFonts w:hint="eastAsia" w:ascii="宋体" w:hAnsi="宋体" w:cs="宋体"/>
          <w:sz w:val="24"/>
        </w:rPr>
        <w:t>。</w:t>
      </w:r>
    </w:p>
    <w:bookmarkEnd w:id="1097"/>
    <w:p>
      <w:pPr>
        <w:spacing w:line="560" w:lineRule="exact"/>
        <w:ind w:firstLine="480" w:firstLineChars="200"/>
        <w:rPr>
          <w:rFonts w:ascii="宋体" w:hAnsi="宋体" w:cs="宋体"/>
          <w:sz w:val="24"/>
        </w:rPr>
      </w:pPr>
      <w:r>
        <w:rPr>
          <w:rFonts w:hint="eastAsia" w:ascii="宋体" w:hAnsi="宋体" w:cs="宋体"/>
          <w:sz w:val="24"/>
        </w:rPr>
        <w:t>13.2.5移交、接收全部与部分工程</w:t>
      </w:r>
    </w:p>
    <w:bookmarkEnd w:id="1098"/>
    <w:p>
      <w:pPr>
        <w:spacing w:line="560" w:lineRule="exact"/>
        <w:ind w:firstLine="480" w:firstLineChars="200"/>
        <w:rPr>
          <w:rFonts w:ascii="宋体" w:hAnsi="宋体" w:cs="宋体"/>
          <w:sz w:val="24"/>
        </w:rPr>
      </w:pPr>
      <w:r>
        <w:rPr>
          <w:rFonts w:hint="eastAsia" w:ascii="宋体" w:hAnsi="宋体" w:cs="宋体"/>
          <w:sz w:val="24"/>
        </w:rPr>
        <w:t>承包人向发包人移交工程的期限：</w:t>
      </w:r>
      <w:r>
        <w:rPr>
          <w:rFonts w:hint="eastAsia" w:ascii="宋体" w:hAnsi="宋体" w:cs="宋体"/>
          <w:sz w:val="24"/>
          <w:u w:val="single"/>
        </w:rPr>
        <w:t xml:space="preserve"> 按通用条款。</w:t>
      </w:r>
    </w:p>
    <w:p>
      <w:pPr>
        <w:spacing w:line="560" w:lineRule="exact"/>
        <w:ind w:firstLine="480" w:firstLineChars="200"/>
        <w:rPr>
          <w:rFonts w:ascii="宋体" w:hAnsi="宋体" w:cs="宋体"/>
          <w:sz w:val="24"/>
          <w:u w:val="single"/>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w:t>
      </w:r>
    </w:p>
    <w:bookmarkEnd w:id="1099"/>
    <w:p>
      <w:pPr>
        <w:spacing w:line="560" w:lineRule="exact"/>
        <w:ind w:firstLine="480" w:firstLineChars="200"/>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按照合同7.5.2条款计算违约金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13.3 工程试车</w:t>
      </w:r>
    </w:p>
    <w:bookmarkEnd w:id="1100"/>
    <w:p>
      <w:pPr>
        <w:spacing w:line="560" w:lineRule="exact"/>
        <w:ind w:firstLine="480" w:firstLineChars="200"/>
        <w:rPr>
          <w:rFonts w:ascii="宋体" w:hAnsi="宋体" w:cs="宋体"/>
          <w:sz w:val="24"/>
        </w:rPr>
      </w:pPr>
      <w:r>
        <w:rPr>
          <w:rFonts w:hint="eastAsia" w:ascii="宋体" w:hAnsi="宋体" w:cs="宋体"/>
          <w:sz w:val="24"/>
        </w:rPr>
        <w:t>13.3.1 试车程序</w:t>
      </w:r>
    </w:p>
    <w:p>
      <w:pPr>
        <w:spacing w:line="560" w:lineRule="exact"/>
        <w:ind w:firstLine="480" w:firstLineChars="200"/>
        <w:rPr>
          <w:rFonts w:ascii="宋体" w:hAnsi="宋体" w:cs="宋体"/>
          <w:sz w:val="24"/>
        </w:rPr>
      </w:pPr>
      <w:r>
        <w:rPr>
          <w:rFonts w:hint="eastAsia" w:ascii="宋体" w:hAnsi="宋体" w:cs="宋体"/>
          <w:sz w:val="24"/>
        </w:rPr>
        <w:t>工程试车内容：</w:t>
      </w:r>
      <w:r>
        <w:rPr>
          <w:rFonts w:hint="eastAsia" w:ascii="宋体" w:hAnsi="宋体" w:cs="宋体"/>
          <w:sz w:val="24"/>
          <w:u w:val="single"/>
        </w:rPr>
        <w:t>/</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pPr>
        <w:spacing w:line="560" w:lineRule="exact"/>
        <w:ind w:firstLine="480" w:firstLineChars="200"/>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w:t>
      </w:r>
      <w:r>
        <w:rPr>
          <w:rFonts w:hint="eastAsia" w:ascii="宋体" w:hAnsi="宋体" w:cs="宋体"/>
          <w:sz w:val="24"/>
        </w:rPr>
        <w:t>承担。</w:t>
      </w:r>
    </w:p>
    <w:p>
      <w:pPr>
        <w:spacing w:line="560" w:lineRule="exact"/>
        <w:ind w:firstLine="480" w:firstLineChars="200"/>
        <w:rPr>
          <w:rFonts w:ascii="宋体" w:hAnsi="宋体" w:cs="宋体"/>
          <w:sz w:val="24"/>
        </w:rPr>
      </w:pPr>
      <w:r>
        <w:rPr>
          <w:rFonts w:hint="eastAsia" w:ascii="宋体" w:hAnsi="宋体" w:cs="宋体"/>
          <w:sz w:val="24"/>
        </w:rPr>
        <w:t>13.3.3 投料试车</w:t>
      </w:r>
    </w:p>
    <w:p>
      <w:pPr>
        <w:spacing w:line="560" w:lineRule="exact"/>
        <w:ind w:firstLine="480" w:firstLineChars="200"/>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13.6 竣工退场</w:t>
      </w:r>
    </w:p>
    <w:p>
      <w:pPr>
        <w:spacing w:line="560" w:lineRule="exact"/>
        <w:ind w:firstLine="480" w:firstLineChars="200"/>
        <w:rPr>
          <w:rFonts w:ascii="宋体" w:hAnsi="宋体" w:cs="宋体"/>
          <w:sz w:val="24"/>
        </w:rPr>
      </w:pPr>
      <w:r>
        <w:rPr>
          <w:rFonts w:hint="eastAsia" w:ascii="宋体" w:hAnsi="宋体" w:cs="宋体"/>
          <w:sz w:val="24"/>
        </w:rPr>
        <w:t>13.6.1 竣工退场</w:t>
      </w:r>
    </w:p>
    <w:p>
      <w:pPr>
        <w:spacing w:line="560" w:lineRule="exact"/>
        <w:ind w:firstLine="480" w:firstLineChars="200"/>
        <w:rPr>
          <w:rFonts w:ascii="宋体" w:hAnsi="宋体" w:cs="宋体"/>
          <w:sz w:val="24"/>
        </w:rPr>
      </w:pPr>
      <w:r>
        <w:rPr>
          <w:rFonts w:hint="eastAsia" w:ascii="宋体" w:hAnsi="宋体" w:cs="宋体"/>
          <w:sz w:val="24"/>
        </w:rPr>
        <w:t>承包人完成竣工退场的期限：</w:t>
      </w:r>
      <w:r>
        <w:rPr>
          <w:rFonts w:hint="eastAsia" w:ascii="宋体" w:hAnsi="宋体" w:cs="宋体"/>
          <w:sz w:val="24"/>
          <w:u w:val="single"/>
        </w:rPr>
        <w:t>按发包人要求期限执行。</w:t>
      </w:r>
    </w:p>
    <w:p>
      <w:pPr>
        <w:spacing w:line="560" w:lineRule="exact"/>
        <w:ind w:firstLine="480" w:firstLineChars="200"/>
        <w:rPr>
          <w:rFonts w:ascii="宋体" w:hAnsi="宋体" w:cs="宋体"/>
          <w:sz w:val="24"/>
        </w:rPr>
      </w:pPr>
      <w:bookmarkStart w:id="1101" w:name="_Toc489620097"/>
      <w:r>
        <w:rPr>
          <w:rFonts w:hint="eastAsia" w:ascii="宋体" w:hAnsi="宋体" w:cs="宋体"/>
          <w:sz w:val="24"/>
        </w:rPr>
        <w:t>14. 竣工结算</w:t>
      </w:r>
      <w:bookmarkEnd w:id="1101"/>
    </w:p>
    <w:p>
      <w:pPr>
        <w:spacing w:line="560" w:lineRule="exact"/>
        <w:ind w:firstLine="480" w:firstLineChars="200"/>
        <w:rPr>
          <w:rFonts w:ascii="宋体" w:hAnsi="宋体" w:cs="宋体"/>
          <w:sz w:val="24"/>
        </w:rPr>
      </w:pPr>
      <w:r>
        <w:rPr>
          <w:rFonts w:hint="eastAsia" w:ascii="宋体" w:hAnsi="宋体" w:cs="宋体"/>
          <w:sz w:val="24"/>
        </w:rPr>
        <w:t>14.1 竣工结算申请</w:t>
      </w:r>
    </w:p>
    <w:p>
      <w:pPr>
        <w:spacing w:line="560" w:lineRule="exact"/>
        <w:ind w:firstLine="480" w:firstLineChars="200"/>
        <w:rPr>
          <w:rFonts w:ascii="宋体" w:hAnsi="宋体" w:cs="宋体"/>
          <w:sz w:val="24"/>
        </w:rPr>
      </w:pPr>
      <w:r>
        <w:rPr>
          <w:rFonts w:hint="eastAsia" w:ascii="宋体" w:hAnsi="宋体" w:cs="宋体"/>
          <w:sz w:val="24"/>
        </w:rPr>
        <w:t>承包人提交竣工结算申请单的期限：</w:t>
      </w:r>
      <w:r>
        <w:rPr>
          <w:rFonts w:hint="eastAsia" w:ascii="宋体" w:hAnsi="宋体" w:cs="宋体"/>
          <w:sz w:val="24"/>
          <w:u w:val="single"/>
        </w:rPr>
        <w:t xml:space="preserve"> 按通用条款。</w:t>
      </w:r>
    </w:p>
    <w:p>
      <w:pPr>
        <w:spacing w:line="560" w:lineRule="exact"/>
        <w:ind w:firstLine="480" w:firstLineChars="200"/>
        <w:rPr>
          <w:rFonts w:ascii="宋体" w:hAnsi="宋体" w:cs="宋体"/>
          <w:sz w:val="24"/>
        </w:rPr>
      </w:pPr>
      <w:r>
        <w:rPr>
          <w:rFonts w:hint="eastAsia" w:ascii="宋体" w:hAnsi="宋体" w:cs="宋体"/>
          <w:sz w:val="24"/>
        </w:rPr>
        <w:t>竣工结算申请单应包括的内容</w:t>
      </w:r>
      <w:r>
        <w:rPr>
          <w:rFonts w:hint="eastAsia" w:ascii="宋体" w:hAnsi="宋体" w:cs="宋体"/>
          <w:sz w:val="24"/>
          <w:u w:val="single"/>
        </w:rPr>
        <w:t>：按发包人要求执行</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14.2 竣工结算审核</w:t>
      </w:r>
    </w:p>
    <w:p>
      <w:pPr>
        <w:spacing w:line="560" w:lineRule="exact"/>
        <w:ind w:firstLine="482" w:firstLineChars="200"/>
        <w:rPr>
          <w:rFonts w:ascii="宋体" w:hAnsi="宋体" w:cs="宋体"/>
          <w:b/>
          <w:sz w:val="24"/>
          <w:u w:val="single"/>
        </w:rPr>
      </w:pPr>
      <w:r>
        <w:rPr>
          <w:rFonts w:hint="eastAsia" w:ascii="宋体" w:hAnsi="宋体" w:cs="宋体"/>
          <w:b/>
          <w:sz w:val="24"/>
        </w:rPr>
        <w:t>发包人审批竣工付款申请单的期限：</w:t>
      </w:r>
      <w:r>
        <w:rPr>
          <w:rFonts w:hint="eastAsia" w:ascii="宋体" w:hAnsi="宋体" w:cs="宋体"/>
          <w:b/>
          <w:sz w:val="24"/>
          <w:u w:val="single"/>
        </w:rPr>
        <w:t xml:space="preserve">   90天   。</w:t>
      </w:r>
    </w:p>
    <w:p>
      <w:pPr>
        <w:spacing w:line="560" w:lineRule="exact"/>
        <w:ind w:firstLine="480" w:firstLineChars="200"/>
        <w:rPr>
          <w:rFonts w:ascii="宋体" w:hAnsi="宋体" w:cs="宋体"/>
          <w:sz w:val="24"/>
          <w:u w:val="single"/>
        </w:rPr>
      </w:pPr>
      <w:r>
        <w:rPr>
          <w:rFonts w:hint="eastAsia" w:ascii="宋体" w:hAnsi="宋体" w:cs="宋体"/>
          <w:sz w:val="24"/>
        </w:rPr>
        <w:t>发包人完成竣工付款的期限：</w:t>
      </w:r>
      <w:r>
        <w:rPr>
          <w:rFonts w:hint="eastAsia" w:ascii="宋体" w:hAnsi="宋体" w:cs="宋体"/>
          <w:sz w:val="24"/>
          <w:u w:val="single"/>
        </w:rPr>
        <w:t xml:space="preserve"> 按照合同规定条款执行 。</w:t>
      </w:r>
    </w:p>
    <w:p>
      <w:pPr>
        <w:spacing w:line="560" w:lineRule="exact"/>
        <w:ind w:firstLine="480" w:firstLineChars="200"/>
        <w:rPr>
          <w:rFonts w:ascii="宋体" w:hAnsi="宋体" w:cs="宋体"/>
          <w:sz w:val="24"/>
          <w:u w:val="single"/>
        </w:rPr>
      </w:pPr>
      <w:r>
        <w:rPr>
          <w:rFonts w:hint="eastAsia" w:ascii="宋体" w:hAnsi="宋体" w:cs="宋体"/>
          <w:sz w:val="24"/>
        </w:rPr>
        <w:t>关于竣工付款证书异议部分复核的方式和程序：</w:t>
      </w:r>
      <w:r>
        <w:rPr>
          <w:rFonts w:hint="eastAsia" w:ascii="宋体" w:hAnsi="宋体" w:cs="宋体"/>
          <w:sz w:val="24"/>
          <w:u w:val="single"/>
        </w:rPr>
        <w:t xml:space="preserve">  双方另行协商 。</w:t>
      </w:r>
    </w:p>
    <w:p>
      <w:pPr>
        <w:spacing w:line="560" w:lineRule="exact"/>
        <w:ind w:firstLine="480" w:firstLineChars="200"/>
        <w:rPr>
          <w:rFonts w:ascii="宋体" w:hAnsi="宋体" w:cs="宋体"/>
          <w:sz w:val="24"/>
        </w:rPr>
      </w:pPr>
      <w:r>
        <w:rPr>
          <w:rFonts w:hint="eastAsia" w:ascii="宋体" w:hAnsi="宋体" w:cs="宋体"/>
          <w:sz w:val="24"/>
        </w:rPr>
        <w:t>14.4 最终结清</w:t>
      </w:r>
    </w:p>
    <w:p>
      <w:pPr>
        <w:spacing w:line="560" w:lineRule="exact"/>
        <w:ind w:firstLine="480" w:firstLineChars="200"/>
        <w:rPr>
          <w:rFonts w:ascii="宋体" w:hAnsi="宋体" w:cs="宋体"/>
          <w:sz w:val="24"/>
        </w:rPr>
      </w:pPr>
      <w:r>
        <w:rPr>
          <w:rFonts w:hint="eastAsia" w:ascii="宋体" w:hAnsi="宋体" w:cs="宋体"/>
          <w:sz w:val="24"/>
        </w:rPr>
        <w:t>14.4.1 最终结清申请单</w:t>
      </w:r>
    </w:p>
    <w:p>
      <w:pPr>
        <w:spacing w:line="560" w:lineRule="exact"/>
        <w:ind w:firstLine="480" w:firstLineChars="200"/>
        <w:rPr>
          <w:rFonts w:ascii="宋体" w:hAnsi="宋体" w:cs="宋体"/>
          <w:sz w:val="24"/>
          <w:u w:val="single"/>
        </w:rPr>
      </w:pPr>
      <w:r>
        <w:rPr>
          <w:rFonts w:hint="eastAsia" w:ascii="宋体" w:hAnsi="宋体" w:cs="宋体"/>
          <w:sz w:val="24"/>
        </w:rPr>
        <w:t>承包人提交最终结清申请单的份数：</w:t>
      </w:r>
      <w:r>
        <w:rPr>
          <w:rFonts w:hint="eastAsia" w:ascii="宋体" w:hAnsi="宋体" w:cs="宋体"/>
          <w:sz w:val="24"/>
          <w:u w:val="single"/>
        </w:rPr>
        <w:t>按发包人要求执行。</w:t>
      </w:r>
    </w:p>
    <w:p>
      <w:pPr>
        <w:spacing w:line="560" w:lineRule="exact"/>
        <w:ind w:firstLine="480" w:firstLineChars="200"/>
        <w:rPr>
          <w:rFonts w:ascii="宋体" w:hAnsi="宋体" w:cs="宋体"/>
          <w:sz w:val="24"/>
        </w:rPr>
      </w:pPr>
      <w:r>
        <w:rPr>
          <w:rFonts w:hint="eastAsia" w:ascii="宋体" w:hAnsi="宋体" w:cs="宋体"/>
          <w:sz w:val="24"/>
        </w:rPr>
        <w:t>承包人提交最终结算申请单的期限：</w:t>
      </w:r>
      <w:r>
        <w:rPr>
          <w:rFonts w:hint="eastAsia" w:ascii="宋体" w:hAnsi="宋体" w:cs="宋体"/>
          <w:sz w:val="24"/>
          <w:u w:val="single"/>
        </w:rPr>
        <w:t xml:space="preserve">按发包人要求执行。 </w:t>
      </w:r>
    </w:p>
    <w:p>
      <w:pPr>
        <w:spacing w:line="560" w:lineRule="exact"/>
        <w:ind w:firstLine="480" w:firstLineChars="200"/>
        <w:rPr>
          <w:rFonts w:ascii="宋体" w:hAnsi="宋体" w:cs="宋体"/>
          <w:sz w:val="24"/>
        </w:rPr>
      </w:pPr>
      <w:r>
        <w:rPr>
          <w:rFonts w:hint="eastAsia" w:ascii="宋体" w:hAnsi="宋体" w:cs="宋体"/>
          <w:sz w:val="24"/>
        </w:rPr>
        <w:t>14.4.2 最终结清证书和支付</w:t>
      </w:r>
    </w:p>
    <w:p>
      <w:pPr>
        <w:spacing w:line="560" w:lineRule="exact"/>
        <w:ind w:firstLine="480" w:firstLineChars="200"/>
        <w:rPr>
          <w:rFonts w:ascii="宋体" w:hAnsi="宋体" w:cs="宋体"/>
          <w:sz w:val="24"/>
          <w:u w:val="single"/>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按发包人要求执行  。</w:t>
      </w:r>
    </w:p>
    <w:p>
      <w:pPr>
        <w:spacing w:line="560" w:lineRule="exact"/>
        <w:ind w:firstLine="480" w:firstLineChars="200"/>
        <w:rPr>
          <w:rFonts w:ascii="宋体" w:hAnsi="宋体" w:cs="宋体"/>
          <w:sz w:val="24"/>
        </w:rPr>
      </w:pPr>
      <w:r>
        <w:rPr>
          <w:rFonts w:hint="eastAsia" w:ascii="宋体" w:hAnsi="宋体" w:cs="宋体"/>
          <w:sz w:val="24"/>
        </w:rPr>
        <w:t>（2）发包人完成支付的期限</w:t>
      </w:r>
      <w:r>
        <w:rPr>
          <w:rFonts w:hint="eastAsia" w:ascii="宋体" w:hAnsi="宋体" w:cs="宋体"/>
          <w:sz w:val="24"/>
          <w:u w:val="single"/>
        </w:rPr>
        <w:t>：按发包人要求执行。</w:t>
      </w:r>
    </w:p>
    <w:bookmarkEnd w:id="1072"/>
    <w:bookmarkEnd w:id="1073"/>
    <w:bookmarkEnd w:id="1074"/>
    <w:bookmarkEnd w:id="1075"/>
    <w:bookmarkEnd w:id="1076"/>
    <w:bookmarkEnd w:id="1077"/>
    <w:bookmarkEnd w:id="1078"/>
    <w:bookmarkEnd w:id="1079"/>
    <w:p>
      <w:pPr>
        <w:spacing w:line="560" w:lineRule="exact"/>
        <w:ind w:firstLine="480" w:firstLineChars="200"/>
        <w:rPr>
          <w:rFonts w:ascii="宋体" w:hAnsi="宋体" w:cs="宋体"/>
          <w:sz w:val="24"/>
        </w:rPr>
      </w:pPr>
      <w:bookmarkStart w:id="1102" w:name="_Toc489620098"/>
      <w:bookmarkStart w:id="1103" w:name="_Toc267251485"/>
      <w:bookmarkStart w:id="1104" w:name="_Toc267251482"/>
      <w:bookmarkStart w:id="1105" w:name="_Toc267251483"/>
      <w:bookmarkStart w:id="1106" w:name="_Toc267251484"/>
      <w:bookmarkStart w:id="1107" w:name="_Toc267251488"/>
      <w:bookmarkStart w:id="1108" w:name="_Toc267251490"/>
      <w:bookmarkStart w:id="1109" w:name="_Toc267251489"/>
      <w:bookmarkStart w:id="1110" w:name="_Toc267251486"/>
      <w:bookmarkStart w:id="1111" w:name="_Toc267251501"/>
      <w:bookmarkStart w:id="1112" w:name="_Toc267251493"/>
      <w:bookmarkStart w:id="1113" w:name="_Toc267251494"/>
      <w:bookmarkStart w:id="1114" w:name="_Toc267251503"/>
      <w:bookmarkStart w:id="1115" w:name="_Toc267251492"/>
      <w:bookmarkStart w:id="1116" w:name="_Toc267251502"/>
      <w:bookmarkStart w:id="1117" w:name="_Toc267251499"/>
      <w:bookmarkStart w:id="1118" w:name="_Toc267251495"/>
      <w:bookmarkStart w:id="1119" w:name="_Toc267251498"/>
      <w:bookmarkStart w:id="1120" w:name="_Toc267251496"/>
      <w:bookmarkStart w:id="1121" w:name="_Toc267251491"/>
      <w:bookmarkStart w:id="1122" w:name="_Toc267251497"/>
      <w:bookmarkStart w:id="1123" w:name="_Toc267251508"/>
      <w:bookmarkStart w:id="1124" w:name="_Toc267251506"/>
      <w:bookmarkStart w:id="1125" w:name="_Toc267251513"/>
      <w:bookmarkStart w:id="1126" w:name="_Toc267251511"/>
      <w:bookmarkStart w:id="1127" w:name="_Toc267251515"/>
      <w:bookmarkStart w:id="1128" w:name="_Toc267251507"/>
      <w:bookmarkStart w:id="1129" w:name="_Toc267251504"/>
      <w:bookmarkStart w:id="1130" w:name="_Toc267251510"/>
      <w:bookmarkStart w:id="1131" w:name="_Toc267251509"/>
      <w:bookmarkStart w:id="1132" w:name="_Toc267251514"/>
      <w:r>
        <w:rPr>
          <w:rFonts w:hint="eastAsia" w:ascii="宋体" w:hAnsi="宋体" w:cs="宋体"/>
          <w:sz w:val="24"/>
        </w:rPr>
        <w:t>15. 缺陷责任期与保修</w:t>
      </w:r>
      <w:bookmarkEnd w:id="1102"/>
    </w:p>
    <w:bookmarkEnd w:id="1103"/>
    <w:bookmarkEnd w:id="1104"/>
    <w:bookmarkEnd w:id="1105"/>
    <w:bookmarkEnd w:id="1106"/>
    <w:p>
      <w:pPr>
        <w:spacing w:line="560" w:lineRule="exact"/>
        <w:ind w:firstLine="480" w:firstLineChars="200"/>
        <w:rPr>
          <w:rFonts w:ascii="宋体" w:hAnsi="宋体" w:cs="宋体"/>
          <w:sz w:val="24"/>
        </w:rPr>
      </w:pPr>
      <w:r>
        <w:rPr>
          <w:rFonts w:hint="eastAsia" w:ascii="宋体" w:hAnsi="宋体" w:cs="宋体"/>
          <w:sz w:val="24"/>
        </w:rPr>
        <w:t>15.2缺陷责任期</w:t>
      </w:r>
    </w:p>
    <w:p>
      <w:pPr>
        <w:spacing w:line="560" w:lineRule="exact"/>
        <w:ind w:firstLine="480" w:firstLineChars="200"/>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rPr>
        <w:t>24个月。</w:t>
      </w:r>
    </w:p>
    <w:p>
      <w:pPr>
        <w:spacing w:line="560" w:lineRule="exact"/>
        <w:ind w:firstLine="480" w:firstLineChars="200"/>
        <w:rPr>
          <w:rFonts w:ascii="宋体" w:hAnsi="宋体" w:cs="宋体"/>
          <w:sz w:val="24"/>
        </w:rPr>
      </w:pPr>
      <w:r>
        <w:rPr>
          <w:rFonts w:hint="eastAsia" w:ascii="宋体" w:hAnsi="宋体" w:cs="宋体"/>
          <w:sz w:val="24"/>
        </w:rPr>
        <w:t>15.3 质量保证金</w:t>
      </w:r>
    </w:p>
    <w:p>
      <w:pPr>
        <w:spacing w:line="560" w:lineRule="exact"/>
        <w:ind w:firstLine="480" w:firstLineChars="200"/>
        <w:rPr>
          <w:rFonts w:ascii="宋体" w:hAnsi="宋体" w:cs="宋体"/>
          <w:sz w:val="24"/>
          <w:u w:val="single"/>
        </w:rPr>
      </w:pPr>
      <w:r>
        <w:rPr>
          <w:rFonts w:hint="eastAsia" w:ascii="宋体" w:hAnsi="宋体" w:cs="宋体"/>
          <w:sz w:val="24"/>
        </w:rPr>
        <w:t>关于是否扣留质量保证金的约定</w:t>
      </w:r>
      <w:r>
        <w:rPr>
          <w:rFonts w:hint="eastAsia" w:ascii="宋体" w:hAnsi="宋体" w:cs="宋体"/>
          <w:sz w:val="24"/>
          <w:u w:val="single"/>
        </w:rPr>
        <w:t>：按发包人要求执行。</w:t>
      </w:r>
    </w:p>
    <w:p>
      <w:pPr>
        <w:spacing w:line="560" w:lineRule="exact"/>
        <w:ind w:firstLine="480" w:firstLineChars="200"/>
        <w:rPr>
          <w:rFonts w:ascii="宋体" w:hAnsi="宋体" w:cs="宋体"/>
          <w:sz w:val="24"/>
        </w:rPr>
      </w:pPr>
      <w:r>
        <w:rPr>
          <w:rFonts w:hint="eastAsia" w:ascii="宋体" w:hAnsi="宋体" w:cs="宋体"/>
          <w:sz w:val="24"/>
        </w:rPr>
        <w:t>15.3.1 承包人提供质量保证金的方式</w:t>
      </w:r>
    </w:p>
    <w:p>
      <w:pPr>
        <w:spacing w:line="560" w:lineRule="exact"/>
        <w:ind w:firstLine="480" w:firstLineChars="200"/>
        <w:rPr>
          <w:rFonts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3</w:t>
      </w:r>
      <w:r>
        <w:rPr>
          <w:rFonts w:hint="eastAsia" w:ascii="宋体" w:hAnsi="宋体" w:cs="宋体"/>
          <w:sz w:val="24"/>
        </w:rPr>
        <w:t>种方式：</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（1）质量保证金保函，保证金额为：</w:t>
      </w:r>
      <w:r>
        <w:rPr>
          <w:rFonts w:hint="eastAsia" w:ascii="宋体" w:hAnsi="宋体" w:cs="宋体"/>
          <w:sz w:val="24"/>
          <w:u w:val="single"/>
        </w:rPr>
        <w:t xml:space="preserve">/  </w:t>
      </w:r>
      <w:r>
        <w:rPr>
          <w:rFonts w:hint="eastAsia" w:ascii="宋体" w:hAnsi="宋体" w:cs="宋体"/>
          <w:sz w:val="24"/>
        </w:rPr>
        <w:t xml:space="preserve">； </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 xml:space="preserve">/ </w:t>
      </w:r>
      <w:r>
        <w:rPr>
          <w:rFonts w:hint="eastAsia" w:ascii="宋体" w:hAnsi="宋体" w:cs="宋体"/>
          <w:sz w:val="24"/>
        </w:rPr>
        <w:t>%的工程款；</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（3）其他方式:</w:t>
      </w:r>
      <w:r>
        <w:rPr>
          <w:rFonts w:hint="eastAsia" w:ascii="宋体" w:hAnsi="宋体" w:cs="宋体"/>
          <w:sz w:val="24"/>
          <w:u w:val="single"/>
        </w:rPr>
        <w:t xml:space="preserve">  审定价的3%  </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 xml:space="preserve">15.3.2 质量保证金的扣留 </w:t>
      </w:r>
    </w:p>
    <w:p>
      <w:pPr>
        <w:spacing w:line="560" w:lineRule="exact"/>
        <w:ind w:firstLine="480" w:firstLineChars="200"/>
        <w:rPr>
          <w:rFonts w:ascii="宋体" w:hAnsi="宋体" w:cs="宋体"/>
          <w:sz w:val="24"/>
        </w:rPr>
      </w:pPr>
      <w:r>
        <w:rPr>
          <w:rFonts w:hint="eastAsia" w:ascii="宋体" w:hAnsi="宋体" w:cs="宋体"/>
          <w:sz w:val="24"/>
        </w:rPr>
        <w:t>质量保证金的扣留采取以下第</w:t>
      </w:r>
      <w:r>
        <w:rPr>
          <w:rFonts w:hint="eastAsia" w:ascii="宋体" w:hAnsi="宋体" w:cs="宋体"/>
          <w:sz w:val="24"/>
          <w:u w:val="single"/>
        </w:rPr>
        <w:t xml:space="preserve"> 3  </w:t>
      </w:r>
      <w:r>
        <w:rPr>
          <w:rFonts w:hint="eastAsia" w:ascii="宋体" w:hAnsi="宋体" w:cs="宋体"/>
          <w:sz w:val="24"/>
        </w:rPr>
        <w:t>种方式：</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（2）工程竣工结算时一次性扣留质量保证金；</w:t>
      </w:r>
    </w:p>
    <w:p>
      <w:pPr>
        <w:autoSpaceDE w:val="0"/>
        <w:autoSpaceDN w:val="0"/>
        <w:adjustRightInd w:val="0"/>
        <w:spacing w:line="560" w:lineRule="exact"/>
        <w:ind w:firstLine="480" w:firstLineChars="200"/>
        <w:rPr>
          <w:rFonts w:ascii="宋体" w:hAnsi="宋体" w:cs="宋体"/>
          <w:sz w:val="24"/>
          <w:u w:val="single"/>
        </w:rPr>
      </w:pPr>
      <w:r>
        <w:rPr>
          <w:rFonts w:hint="eastAsia" w:ascii="宋体" w:hAnsi="宋体" w:cs="宋体"/>
          <w:sz w:val="24"/>
        </w:rPr>
        <w:t>（3）其他扣留方式</w:t>
      </w:r>
      <w:r>
        <w:rPr>
          <w:rFonts w:hint="eastAsia" w:ascii="宋体" w:hAnsi="宋体" w:cs="宋体"/>
          <w:sz w:val="24"/>
          <w:u w:val="single"/>
        </w:rPr>
        <w:t>：按专业合同条款12.4.1约定执行。</w:t>
      </w:r>
    </w:p>
    <w:p>
      <w:pPr>
        <w:spacing w:line="560" w:lineRule="exact"/>
        <w:ind w:firstLine="480" w:firstLineChars="200"/>
        <w:rPr>
          <w:rFonts w:ascii="宋体" w:hAnsi="宋体" w:cs="宋体"/>
          <w:sz w:val="24"/>
        </w:rPr>
      </w:pPr>
      <w:r>
        <w:rPr>
          <w:rFonts w:hint="eastAsia" w:ascii="宋体" w:hAnsi="宋体" w:cs="宋体"/>
          <w:sz w:val="24"/>
        </w:rPr>
        <w:t>关于质量保证金的补充约定：</w:t>
      </w:r>
      <w:r>
        <w:rPr>
          <w:rFonts w:hint="eastAsia" w:ascii="宋体" w:hAnsi="宋体" w:cs="宋体"/>
          <w:sz w:val="24"/>
          <w:u w:val="single"/>
        </w:rPr>
        <w:t xml:space="preserve">   /   </w:t>
      </w:r>
    </w:p>
    <w:p>
      <w:pPr>
        <w:spacing w:line="560" w:lineRule="exact"/>
        <w:ind w:firstLine="480" w:firstLineChars="200"/>
        <w:rPr>
          <w:rFonts w:ascii="宋体" w:hAnsi="宋体" w:cs="宋体"/>
          <w:sz w:val="24"/>
        </w:rPr>
      </w:pPr>
      <w:r>
        <w:rPr>
          <w:rFonts w:hint="eastAsia" w:ascii="宋体" w:hAnsi="宋体" w:cs="宋体"/>
          <w:sz w:val="24"/>
        </w:rPr>
        <w:t>15.4保修</w:t>
      </w:r>
    </w:p>
    <w:p>
      <w:pPr>
        <w:spacing w:line="560" w:lineRule="exact"/>
        <w:ind w:firstLine="480" w:firstLineChars="200"/>
        <w:rPr>
          <w:rFonts w:ascii="宋体" w:hAnsi="宋体" w:cs="宋体"/>
          <w:sz w:val="24"/>
        </w:rPr>
      </w:pPr>
      <w:r>
        <w:rPr>
          <w:rFonts w:hint="eastAsia" w:ascii="宋体" w:hAnsi="宋体" w:cs="宋体"/>
          <w:sz w:val="24"/>
        </w:rPr>
        <w:t>15.4.1 保修责任</w:t>
      </w:r>
    </w:p>
    <w:p>
      <w:pPr>
        <w:spacing w:line="560" w:lineRule="exact"/>
        <w:ind w:firstLine="480" w:firstLineChars="200"/>
        <w:rPr>
          <w:rFonts w:ascii="宋体" w:hAnsi="宋体" w:cs="宋体"/>
          <w:sz w:val="24"/>
        </w:rPr>
      </w:pPr>
      <w:r>
        <w:rPr>
          <w:rFonts w:hint="eastAsia" w:ascii="宋体" w:hAnsi="宋体" w:cs="宋体"/>
          <w:sz w:val="24"/>
        </w:rPr>
        <w:t>工程保修期为：</w:t>
      </w:r>
      <w:r>
        <w:rPr>
          <w:rFonts w:hint="eastAsia" w:ascii="宋体" w:hAnsi="宋体" w:cs="宋体"/>
          <w:sz w:val="24"/>
          <w:u w:val="single"/>
        </w:rPr>
        <w:t xml:space="preserve"> 按通用条款。</w:t>
      </w:r>
    </w:p>
    <w:p>
      <w:pPr>
        <w:spacing w:line="560" w:lineRule="exact"/>
        <w:ind w:firstLine="480" w:firstLineChars="200"/>
        <w:rPr>
          <w:rFonts w:ascii="宋体" w:hAnsi="宋体" w:cs="宋体"/>
          <w:sz w:val="24"/>
          <w:u w:val="single"/>
        </w:rPr>
      </w:pPr>
      <w:r>
        <w:rPr>
          <w:rFonts w:hint="eastAsia" w:ascii="宋体" w:hAnsi="宋体" w:cs="宋体"/>
          <w:sz w:val="24"/>
        </w:rPr>
        <w:t>15.4.3 修复通知</w:t>
      </w:r>
    </w:p>
    <w:p>
      <w:pPr>
        <w:spacing w:line="560" w:lineRule="exact"/>
        <w:ind w:firstLine="480" w:firstLineChars="200"/>
        <w:rPr>
          <w:rFonts w:ascii="宋体" w:hAnsi="宋体" w:cs="宋体"/>
          <w:color w:val="000000"/>
          <w:sz w:val="24"/>
        </w:rPr>
      </w:pPr>
      <w:r>
        <w:rPr>
          <w:rFonts w:hint="eastAsia" w:ascii="宋体" w:hAnsi="宋体" w:cs="宋体"/>
          <w:sz w:val="24"/>
        </w:rPr>
        <w:t>承包人收到保修通知并到达工程现场的合理时间</w:t>
      </w:r>
      <w:r>
        <w:rPr>
          <w:rFonts w:hint="eastAsia" w:ascii="宋体" w:hAnsi="宋体" w:cs="宋体"/>
          <w:sz w:val="24"/>
          <w:u w:val="single"/>
        </w:rPr>
        <w:t>： 承包人收到保修通知后24小时内到达工程现场。</w:t>
      </w:r>
    </w:p>
    <w:bookmarkEnd w:id="1107"/>
    <w:bookmarkEnd w:id="1108"/>
    <w:bookmarkEnd w:id="1109"/>
    <w:bookmarkEnd w:id="1110"/>
    <w:p>
      <w:pPr>
        <w:spacing w:line="560" w:lineRule="exact"/>
        <w:ind w:firstLine="480" w:firstLineChars="200"/>
        <w:rPr>
          <w:rFonts w:ascii="宋体" w:hAnsi="宋体" w:cs="宋体"/>
          <w:sz w:val="24"/>
        </w:rPr>
      </w:pPr>
      <w:bookmarkStart w:id="1133" w:name="_Toc489620099"/>
      <w:bookmarkStart w:id="1134" w:name="_Toc280868717"/>
      <w:bookmarkStart w:id="1135" w:name="_Toc280868718"/>
      <w:r>
        <w:rPr>
          <w:rFonts w:hint="eastAsia" w:ascii="宋体" w:hAnsi="宋体" w:cs="宋体"/>
          <w:sz w:val="24"/>
        </w:rPr>
        <w:t>16. 违约</w:t>
      </w:r>
      <w:bookmarkEnd w:id="1133"/>
    </w:p>
    <w:p>
      <w:pPr>
        <w:spacing w:line="560" w:lineRule="exact"/>
        <w:ind w:firstLine="480" w:firstLineChars="200"/>
        <w:rPr>
          <w:rFonts w:ascii="宋体" w:hAnsi="宋体" w:cs="宋体"/>
          <w:sz w:val="24"/>
        </w:rPr>
      </w:pPr>
      <w:r>
        <w:rPr>
          <w:rFonts w:hint="eastAsia" w:ascii="宋体" w:hAnsi="宋体" w:cs="宋体"/>
          <w:sz w:val="24"/>
        </w:rPr>
        <w:t>16.1 发包人违约</w:t>
      </w:r>
    </w:p>
    <w:p>
      <w:pPr>
        <w:spacing w:line="560" w:lineRule="exact"/>
        <w:ind w:firstLine="480" w:firstLineChars="200"/>
        <w:rPr>
          <w:rFonts w:ascii="宋体" w:hAnsi="宋体" w:cs="宋体"/>
          <w:sz w:val="24"/>
        </w:rPr>
      </w:pPr>
      <w:r>
        <w:rPr>
          <w:rFonts w:hint="eastAsia" w:ascii="宋体" w:hAnsi="宋体" w:cs="宋体"/>
          <w:sz w:val="24"/>
        </w:rPr>
        <w:t>16.1.1发包人违约的情形</w:t>
      </w:r>
    </w:p>
    <w:p>
      <w:pPr>
        <w:spacing w:line="560" w:lineRule="exact"/>
        <w:ind w:firstLine="480" w:firstLineChars="200"/>
        <w:rPr>
          <w:rFonts w:ascii="宋体" w:hAnsi="宋体" w:cs="宋体"/>
          <w:color w:val="000000"/>
          <w:sz w:val="24"/>
        </w:rPr>
      </w:pPr>
      <w:r>
        <w:rPr>
          <w:rFonts w:hint="eastAsia" w:ascii="宋体" w:hAnsi="宋体" w:cs="宋体"/>
          <w:sz w:val="24"/>
        </w:rPr>
        <w:t>发包人</w:t>
      </w:r>
      <w:r>
        <w:rPr>
          <w:rFonts w:hint="eastAsia" w:ascii="宋体" w:hAnsi="宋体" w:cs="宋体"/>
          <w:color w:val="000000"/>
          <w:sz w:val="24"/>
        </w:rPr>
        <w:t>违约的其他情形：</w:t>
      </w:r>
      <w:r>
        <w:rPr>
          <w:rFonts w:hint="eastAsia" w:ascii="宋体" w:hAnsi="宋体" w:cs="宋体"/>
          <w:sz w:val="24"/>
          <w:u w:val="single"/>
        </w:rPr>
        <w:t>若因发包人原因需减少或取消部分工程量清单，发包人只对已发生的合格工程量负责，根据已发生的合格工程量与承包人办理结算，不承担其它违约责任。</w:t>
      </w:r>
    </w:p>
    <w:p>
      <w:pPr>
        <w:spacing w:line="560" w:lineRule="exact"/>
        <w:ind w:firstLine="480" w:firstLineChars="200"/>
        <w:rPr>
          <w:rFonts w:ascii="宋体" w:hAnsi="宋体" w:cs="宋体"/>
          <w:sz w:val="24"/>
        </w:rPr>
      </w:pPr>
      <w:bookmarkStart w:id="1136" w:name="_Toc489620100"/>
      <w:r>
        <w:rPr>
          <w:rFonts w:hint="eastAsia" w:ascii="宋体" w:hAnsi="宋体" w:cs="宋体"/>
          <w:sz w:val="24"/>
        </w:rPr>
        <w:t>17. 不可抗力</w:t>
      </w:r>
      <w:bookmarkEnd w:id="1134"/>
      <w:bookmarkEnd w:id="1136"/>
    </w:p>
    <w:p>
      <w:pPr>
        <w:spacing w:line="560" w:lineRule="exact"/>
        <w:ind w:firstLine="480" w:firstLineChars="200"/>
        <w:rPr>
          <w:rFonts w:ascii="宋体" w:hAnsi="宋体" w:cs="宋体"/>
          <w:sz w:val="24"/>
        </w:rPr>
      </w:pPr>
      <w:r>
        <w:rPr>
          <w:rFonts w:hint="eastAsia" w:ascii="宋体" w:hAnsi="宋体" w:cs="宋体"/>
          <w:sz w:val="24"/>
        </w:rPr>
        <w:t>17.1 不可抗力的确认</w:t>
      </w:r>
    </w:p>
    <w:p>
      <w:pPr>
        <w:spacing w:line="560" w:lineRule="exact"/>
        <w:ind w:firstLine="480" w:firstLineChars="200"/>
        <w:rPr>
          <w:rFonts w:ascii="宋体" w:hAnsi="宋体" w:cs="宋体"/>
          <w:color w:val="000000"/>
          <w:sz w:val="24"/>
          <w:u w:val="single"/>
        </w:rPr>
      </w:pPr>
      <w:r>
        <w:rPr>
          <w:rFonts w:hint="eastAsia" w:ascii="宋体" w:hAnsi="宋体" w:cs="宋体"/>
          <w:sz w:val="24"/>
        </w:rPr>
        <w:t>除通用</w:t>
      </w:r>
      <w:r>
        <w:rPr>
          <w:rFonts w:hint="eastAsia" w:ascii="宋体" w:hAnsi="宋体" w:cs="宋体"/>
          <w:color w:val="000000"/>
          <w:sz w:val="24"/>
        </w:rPr>
        <w:t xml:space="preserve">合同条款约定的不可抗力事件之外，视为不可抗力的其他情形： </w:t>
      </w:r>
      <w:r>
        <w:rPr>
          <w:rFonts w:hint="eastAsia" w:ascii="宋体" w:hAnsi="宋体" w:cs="宋体"/>
          <w:color w:val="000000"/>
          <w:sz w:val="24"/>
          <w:u w:val="single"/>
        </w:rPr>
        <w:t xml:space="preserve">6级以上地震、10级以上台风、超历史洪水等情况之一   </w:t>
      </w:r>
      <w:r>
        <w:rPr>
          <w:rFonts w:hint="eastAsia" w:ascii="宋体" w:hAnsi="宋体" w:cs="宋体"/>
          <w:color w:val="000000"/>
          <w:sz w:val="24"/>
        </w:rPr>
        <w:t>。</w:t>
      </w:r>
    </w:p>
    <w:p>
      <w:pPr>
        <w:spacing w:line="560" w:lineRule="exact"/>
        <w:ind w:firstLine="480" w:firstLineChars="200"/>
        <w:rPr>
          <w:rFonts w:ascii="宋体" w:hAnsi="宋体" w:cs="宋体"/>
          <w:sz w:val="24"/>
        </w:rPr>
      </w:pPr>
      <w:r>
        <w:rPr>
          <w:rFonts w:hint="eastAsia" w:ascii="宋体" w:hAnsi="宋体" w:cs="宋体"/>
          <w:sz w:val="24"/>
        </w:rPr>
        <w:t>17.4 因不可抗力解除合同</w:t>
      </w:r>
    </w:p>
    <w:p>
      <w:pPr>
        <w:spacing w:line="560" w:lineRule="exact"/>
        <w:ind w:firstLine="480" w:firstLineChars="200"/>
        <w:rPr>
          <w:rFonts w:ascii="宋体" w:hAnsi="宋体" w:cs="宋体"/>
          <w:sz w:val="24"/>
        </w:rPr>
      </w:pPr>
      <w:r>
        <w:rPr>
          <w:rFonts w:hint="eastAsia" w:ascii="宋体" w:hAnsi="宋体" w:cs="宋体"/>
          <w:sz w:val="24"/>
        </w:rPr>
        <w:t>合同</w:t>
      </w:r>
      <w:r>
        <w:rPr>
          <w:rFonts w:hint="eastAsia" w:ascii="宋体" w:hAnsi="宋体" w:cs="宋体"/>
          <w:color w:val="000000"/>
          <w:sz w:val="24"/>
        </w:rPr>
        <w:t>解除后，发包人应在商定或确定发包人应支付款项后</w:t>
      </w:r>
      <w:r>
        <w:rPr>
          <w:rFonts w:hint="eastAsia" w:ascii="宋体" w:hAnsi="宋体" w:cs="宋体"/>
          <w:color w:val="000000"/>
          <w:sz w:val="24"/>
          <w:u w:val="single"/>
        </w:rPr>
        <w:t xml:space="preserve">  /  </w:t>
      </w:r>
      <w:r>
        <w:rPr>
          <w:rFonts w:hint="eastAsia" w:ascii="宋体" w:hAnsi="宋体" w:cs="宋体"/>
          <w:color w:val="000000"/>
          <w:sz w:val="24"/>
        </w:rPr>
        <w:t>天内完成</w:t>
      </w:r>
      <w:r>
        <w:rPr>
          <w:rFonts w:hint="eastAsia" w:ascii="宋体" w:hAnsi="宋体" w:cs="宋体"/>
          <w:sz w:val="24"/>
        </w:rPr>
        <w:t>款项的支付。</w:t>
      </w:r>
    </w:p>
    <w:p>
      <w:pPr>
        <w:spacing w:line="560" w:lineRule="exact"/>
        <w:ind w:firstLine="480" w:firstLineChars="200"/>
        <w:rPr>
          <w:rFonts w:ascii="宋体" w:hAnsi="宋体" w:cs="宋体"/>
          <w:sz w:val="24"/>
        </w:rPr>
      </w:pPr>
      <w:bookmarkStart w:id="1137" w:name="_Toc489620101"/>
      <w:r>
        <w:rPr>
          <w:rFonts w:hint="eastAsia" w:ascii="宋体" w:hAnsi="宋体" w:cs="宋体"/>
          <w:sz w:val="24"/>
        </w:rPr>
        <w:t>18. 保险</w:t>
      </w:r>
      <w:bookmarkEnd w:id="1137"/>
    </w:p>
    <w:bookmarkEnd w:id="1135"/>
    <w:p>
      <w:pPr>
        <w:spacing w:line="560" w:lineRule="exact"/>
        <w:ind w:firstLine="480" w:firstLineChars="200"/>
        <w:rPr>
          <w:rFonts w:ascii="宋体" w:hAnsi="宋体" w:cs="宋体"/>
          <w:sz w:val="24"/>
        </w:rPr>
      </w:pPr>
      <w:r>
        <w:rPr>
          <w:rFonts w:hint="eastAsia" w:ascii="宋体" w:hAnsi="宋体" w:cs="宋体"/>
          <w:sz w:val="24"/>
        </w:rPr>
        <w:t>18.1 工程保险</w:t>
      </w:r>
    </w:p>
    <w:p>
      <w:pPr>
        <w:spacing w:line="560" w:lineRule="exact"/>
        <w:ind w:firstLine="480" w:firstLineChars="200"/>
        <w:rPr>
          <w:rFonts w:ascii="宋体" w:hAnsi="宋体" w:cs="宋体"/>
          <w:sz w:val="24"/>
          <w:u w:val="single"/>
        </w:rPr>
      </w:pPr>
      <w:r>
        <w:rPr>
          <w:rFonts w:hint="eastAsia" w:ascii="宋体" w:hAnsi="宋体" w:cs="宋体"/>
          <w:sz w:val="24"/>
        </w:rPr>
        <w:t>关于工程保险的特别约定</w:t>
      </w:r>
      <w:r>
        <w:rPr>
          <w:rFonts w:hint="eastAsia" w:ascii="宋体" w:hAnsi="宋体" w:cs="宋体"/>
          <w:sz w:val="24"/>
          <w:u w:val="single"/>
        </w:rPr>
        <w:t xml:space="preserve"> ：1、建筑工程一切险、工商保险及其它险种均由承包人自行投保，其费用包括在合同价款中；2、该保险涵盖进入施工现场的所有人员。</w:t>
      </w:r>
    </w:p>
    <w:p>
      <w:pPr>
        <w:spacing w:line="560" w:lineRule="exact"/>
        <w:ind w:firstLine="480" w:firstLineChars="200"/>
        <w:rPr>
          <w:rFonts w:ascii="宋体" w:hAnsi="宋体" w:cs="宋体"/>
          <w:sz w:val="24"/>
        </w:rPr>
      </w:pPr>
      <w:r>
        <w:rPr>
          <w:rFonts w:hint="eastAsia" w:ascii="宋体" w:hAnsi="宋体" w:cs="宋体"/>
          <w:sz w:val="24"/>
        </w:rPr>
        <w:t>18.3 其他保险</w:t>
      </w:r>
    </w:p>
    <w:p>
      <w:pPr>
        <w:spacing w:line="560" w:lineRule="exact"/>
        <w:ind w:firstLine="480" w:firstLineChars="200"/>
        <w:rPr>
          <w:rFonts w:ascii="宋体" w:hAnsi="宋体" w:cs="宋体"/>
          <w:color w:val="000000"/>
          <w:sz w:val="24"/>
        </w:rPr>
      </w:pPr>
      <w:r>
        <w:rPr>
          <w:rFonts w:hint="eastAsia" w:ascii="宋体" w:hAnsi="宋体" w:cs="宋体"/>
          <w:sz w:val="24"/>
        </w:rPr>
        <w:t>关于</w:t>
      </w:r>
      <w:r>
        <w:rPr>
          <w:rFonts w:hint="eastAsia" w:ascii="宋体" w:hAnsi="宋体" w:cs="宋体"/>
          <w:color w:val="000000"/>
          <w:sz w:val="24"/>
        </w:rPr>
        <w:t>其他保险的约定：</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560" w:lineRule="exact"/>
        <w:ind w:firstLine="480" w:firstLineChars="200"/>
        <w:rPr>
          <w:rFonts w:ascii="宋体" w:hAnsi="宋体" w:cs="宋体"/>
          <w:color w:val="000000"/>
          <w:sz w:val="24"/>
        </w:rPr>
      </w:pPr>
      <w:r>
        <w:rPr>
          <w:rFonts w:hint="eastAsia" w:ascii="宋体" w:hAnsi="宋体" w:cs="宋体"/>
          <w:color w:val="000000"/>
          <w:sz w:val="24"/>
        </w:rPr>
        <w:t>承包人是否应为其施工设备等办理财产保险：</w:t>
      </w:r>
      <w:r>
        <w:rPr>
          <w:rFonts w:hint="eastAsia" w:ascii="宋体" w:hAnsi="宋体" w:cs="宋体"/>
          <w:sz w:val="24"/>
          <w:u w:val="single"/>
        </w:rPr>
        <w:t>由承包人自行决定，风险由承包人负责</w:t>
      </w:r>
      <w:r>
        <w:rPr>
          <w:rFonts w:hint="eastAsia" w:ascii="宋体" w:hAnsi="宋体" w:cs="宋体"/>
          <w:color w:val="000000"/>
          <w:sz w:val="24"/>
        </w:rPr>
        <w:t>。</w:t>
      </w:r>
    </w:p>
    <w:p>
      <w:pPr>
        <w:spacing w:line="560" w:lineRule="exact"/>
        <w:ind w:firstLine="480" w:firstLineChars="200"/>
        <w:rPr>
          <w:rFonts w:ascii="宋体" w:hAnsi="宋体" w:cs="宋体"/>
          <w:sz w:val="24"/>
        </w:rPr>
      </w:pPr>
      <w:r>
        <w:rPr>
          <w:rFonts w:hint="eastAsia" w:ascii="宋体" w:hAnsi="宋体" w:cs="宋体"/>
          <w:sz w:val="24"/>
        </w:rPr>
        <w:t>18.7 通知义务</w:t>
      </w:r>
    </w:p>
    <w:p>
      <w:pPr>
        <w:spacing w:line="560" w:lineRule="exact"/>
        <w:ind w:firstLine="480" w:firstLineChars="200"/>
        <w:rPr>
          <w:rFonts w:ascii="宋体" w:hAnsi="宋体" w:cs="宋体"/>
          <w:sz w:val="24"/>
        </w:rPr>
      </w:pPr>
      <w:r>
        <w:rPr>
          <w:rFonts w:hint="eastAsia" w:ascii="宋体" w:hAnsi="宋体" w:cs="宋体"/>
          <w:sz w:val="24"/>
        </w:rPr>
        <w:t>关于变更保险合同时的通知义务的约定：</w:t>
      </w:r>
      <w:r>
        <w:rPr>
          <w:rFonts w:hint="eastAsia" w:ascii="宋体" w:hAnsi="宋体" w:cs="宋体"/>
          <w:sz w:val="24"/>
          <w:u w:val="single"/>
        </w:rPr>
        <w:t>按通用条款规定执行</w:t>
      </w:r>
      <w:r>
        <w:rPr>
          <w:rFonts w:hint="eastAsia" w:ascii="宋体" w:hAnsi="宋体" w:cs="宋体"/>
          <w:sz w:val="24"/>
        </w:rPr>
        <w:t>。</w:t>
      </w:r>
    </w:p>
    <w:bookmarkEnd w:id="1111"/>
    <w:bookmarkEnd w:id="1112"/>
    <w:bookmarkEnd w:id="1113"/>
    <w:bookmarkEnd w:id="1114"/>
    <w:bookmarkEnd w:id="1115"/>
    <w:bookmarkEnd w:id="1116"/>
    <w:bookmarkEnd w:id="1117"/>
    <w:bookmarkEnd w:id="1118"/>
    <w:bookmarkEnd w:id="1119"/>
    <w:bookmarkEnd w:id="1120"/>
    <w:bookmarkEnd w:id="1121"/>
    <w:bookmarkEnd w:id="1122"/>
    <w:p>
      <w:pPr>
        <w:spacing w:line="560" w:lineRule="exact"/>
        <w:ind w:firstLine="480" w:firstLineChars="200"/>
        <w:rPr>
          <w:rFonts w:ascii="宋体" w:hAnsi="宋体" w:cs="宋体"/>
          <w:sz w:val="24"/>
        </w:rPr>
      </w:pPr>
      <w:bookmarkStart w:id="1138" w:name="_Toc489620102"/>
      <w:r>
        <w:rPr>
          <w:rFonts w:hint="eastAsia" w:ascii="宋体" w:hAnsi="宋体" w:cs="宋体"/>
          <w:sz w:val="24"/>
        </w:rPr>
        <w:t>20. 争议解决</w:t>
      </w:r>
      <w:bookmarkEnd w:id="1138"/>
    </w:p>
    <w:bookmarkEnd w:id="1123"/>
    <w:bookmarkEnd w:id="1124"/>
    <w:bookmarkEnd w:id="1125"/>
    <w:bookmarkEnd w:id="1126"/>
    <w:bookmarkEnd w:id="1127"/>
    <w:bookmarkEnd w:id="1128"/>
    <w:bookmarkEnd w:id="1129"/>
    <w:bookmarkEnd w:id="1130"/>
    <w:bookmarkEnd w:id="1131"/>
    <w:bookmarkEnd w:id="1132"/>
    <w:p>
      <w:pPr>
        <w:spacing w:line="560" w:lineRule="exact"/>
        <w:ind w:firstLine="480" w:firstLineChars="200"/>
        <w:rPr>
          <w:rFonts w:ascii="宋体" w:hAnsi="宋体" w:cs="宋体"/>
          <w:sz w:val="24"/>
        </w:rPr>
      </w:pPr>
      <w:r>
        <w:rPr>
          <w:rFonts w:hint="eastAsia" w:ascii="宋体" w:hAnsi="宋体" w:cs="宋体"/>
          <w:sz w:val="24"/>
        </w:rPr>
        <w:t>20.3 争议评审</w:t>
      </w:r>
    </w:p>
    <w:p>
      <w:pPr>
        <w:spacing w:line="560" w:lineRule="exact"/>
        <w:ind w:firstLine="480" w:firstLineChars="200"/>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按通用条款</w:t>
      </w:r>
      <w:r>
        <w:rPr>
          <w:rFonts w:hint="eastAsia" w:ascii="宋体" w:hAnsi="宋体" w:cs="宋体"/>
          <w:sz w:val="24"/>
        </w:rPr>
        <w:t xml:space="preserve">。  </w:t>
      </w:r>
    </w:p>
    <w:p>
      <w:pPr>
        <w:spacing w:line="560" w:lineRule="exact"/>
        <w:ind w:firstLine="480" w:firstLineChars="200"/>
        <w:rPr>
          <w:rFonts w:ascii="宋体" w:hAnsi="宋体" w:cs="宋体"/>
          <w:sz w:val="24"/>
        </w:rPr>
      </w:pPr>
      <w:r>
        <w:rPr>
          <w:rFonts w:hint="eastAsia" w:ascii="宋体" w:hAnsi="宋体" w:cs="宋体"/>
          <w:sz w:val="24"/>
        </w:rPr>
        <w:t>20.3.1 争议评审小组的确定</w:t>
      </w:r>
    </w:p>
    <w:p>
      <w:pPr>
        <w:spacing w:line="560" w:lineRule="exact"/>
        <w:ind w:firstLine="480" w:firstLineChars="200"/>
        <w:rPr>
          <w:rFonts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按通用条款  </w:t>
      </w:r>
    </w:p>
    <w:p>
      <w:pPr>
        <w:spacing w:line="560" w:lineRule="exact"/>
        <w:ind w:firstLine="480" w:firstLineChars="200"/>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按通用条款</w:t>
      </w:r>
      <w:r>
        <w:rPr>
          <w:rFonts w:hint="eastAsia" w:ascii="宋体" w:hAnsi="宋体" w:cs="宋体"/>
          <w:sz w:val="24"/>
        </w:rPr>
        <w:t>。</w:t>
      </w:r>
    </w:p>
    <w:p>
      <w:pPr>
        <w:spacing w:line="560" w:lineRule="exact"/>
        <w:ind w:firstLine="480" w:firstLineChars="200"/>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按通用条款</w:t>
      </w:r>
      <w:r>
        <w:rPr>
          <w:rFonts w:hint="eastAsia" w:ascii="宋体" w:hAnsi="宋体" w:cs="宋体"/>
          <w:sz w:val="24"/>
        </w:rPr>
        <w:t xml:space="preserve">。 </w:t>
      </w:r>
    </w:p>
    <w:p>
      <w:pPr>
        <w:spacing w:line="560" w:lineRule="exact"/>
        <w:ind w:firstLine="480" w:firstLineChars="200"/>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按通用条款 </w:t>
      </w:r>
      <w:r>
        <w:rPr>
          <w:rFonts w:hint="eastAsia" w:ascii="宋体" w:hAnsi="宋体" w:cs="宋体"/>
          <w:sz w:val="24"/>
        </w:rPr>
        <w:t>。</w:t>
      </w:r>
    </w:p>
    <w:p>
      <w:pPr>
        <w:autoSpaceDE w:val="0"/>
        <w:autoSpaceDN w:val="0"/>
        <w:adjustRightInd w:val="0"/>
        <w:spacing w:line="560" w:lineRule="exact"/>
        <w:ind w:firstLine="480" w:firstLineChars="200"/>
        <w:rPr>
          <w:rFonts w:ascii="宋体" w:hAnsi="宋体" w:cs="宋体"/>
          <w:sz w:val="24"/>
        </w:rPr>
      </w:pPr>
      <w:r>
        <w:rPr>
          <w:rFonts w:hint="eastAsia" w:ascii="宋体" w:hAnsi="宋体" w:cs="宋体"/>
          <w:sz w:val="24"/>
        </w:rPr>
        <w:t>20.3.2 争议评审小组的决定</w:t>
      </w:r>
    </w:p>
    <w:p>
      <w:pPr>
        <w:spacing w:line="560" w:lineRule="exact"/>
        <w:ind w:firstLine="480" w:firstLineChars="200"/>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按通用条款  </w:t>
      </w:r>
      <w:r>
        <w:rPr>
          <w:rFonts w:hint="eastAsia" w:ascii="宋体" w:hAnsi="宋体" w:cs="宋体"/>
          <w:sz w:val="24"/>
        </w:rPr>
        <w:t>。</w:t>
      </w:r>
    </w:p>
    <w:p>
      <w:pPr>
        <w:pStyle w:val="24"/>
        <w:spacing w:line="560" w:lineRule="exact"/>
        <w:ind w:firstLine="480" w:firstLineChars="200"/>
        <w:jc w:val="left"/>
        <w:rPr>
          <w:rFonts w:hint="default" w:hAnsi="宋体" w:cs="宋体"/>
          <w:sz w:val="24"/>
          <w:szCs w:val="24"/>
        </w:rPr>
      </w:pPr>
      <w:r>
        <w:rPr>
          <w:rFonts w:hAnsi="宋体" w:cs="宋体"/>
          <w:sz w:val="24"/>
          <w:szCs w:val="24"/>
        </w:rPr>
        <w:t>20.4仲裁或诉讼</w:t>
      </w:r>
    </w:p>
    <w:p>
      <w:pPr>
        <w:pStyle w:val="24"/>
        <w:spacing w:line="560" w:lineRule="exact"/>
        <w:ind w:firstLine="480" w:firstLineChars="200"/>
        <w:jc w:val="left"/>
        <w:rPr>
          <w:rFonts w:hint="default" w:hAnsi="宋体" w:cs="宋体"/>
          <w:sz w:val="24"/>
          <w:szCs w:val="24"/>
        </w:rPr>
      </w:pPr>
      <w:r>
        <w:rPr>
          <w:rFonts w:hAnsi="宋体" w:cs="宋体"/>
          <w:sz w:val="24"/>
          <w:szCs w:val="24"/>
        </w:rPr>
        <w:t>因合同及合同有关事项发生的争议，按下列第（2）种方式解决：</w:t>
      </w:r>
    </w:p>
    <w:p>
      <w:pPr>
        <w:pStyle w:val="24"/>
        <w:spacing w:line="560" w:lineRule="exact"/>
        <w:ind w:firstLine="480" w:firstLineChars="200"/>
        <w:jc w:val="left"/>
        <w:rPr>
          <w:rFonts w:hint="default" w:hAnsi="宋体" w:cs="宋体"/>
          <w:sz w:val="24"/>
          <w:szCs w:val="24"/>
        </w:rPr>
      </w:pPr>
      <w:r>
        <w:rPr>
          <w:rFonts w:hAnsi="宋体" w:cs="宋体"/>
          <w:sz w:val="24"/>
          <w:szCs w:val="24"/>
        </w:rPr>
        <w:t>（1）向</w:t>
      </w:r>
      <w:r>
        <w:rPr>
          <w:rFonts w:hAnsi="宋体" w:cs="宋体"/>
          <w:b/>
          <w:bCs/>
          <w:sz w:val="24"/>
          <w:szCs w:val="24"/>
          <w:u w:val="single"/>
        </w:rPr>
        <w:t>常州</w:t>
      </w:r>
      <w:r>
        <w:rPr>
          <w:rFonts w:hAnsi="宋体" w:cs="宋体"/>
          <w:sz w:val="24"/>
          <w:szCs w:val="24"/>
        </w:rPr>
        <w:t>仲裁委员会申请仲裁；</w:t>
      </w:r>
    </w:p>
    <w:p>
      <w:pPr>
        <w:spacing w:line="560" w:lineRule="exact"/>
        <w:ind w:firstLine="480" w:firstLineChars="200"/>
        <w:rPr>
          <w:rFonts w:ascii="宋体" w:hAnsi="宋体" w:cs="宋体"/>
          <w:sz w:val="24"/>
        </w:rPr>
      </w:pPr>
      <w:r>
        <w:rPr>
          <w:rFonts w:hint="eastAsia" w:ascii="宋体" w:hAnsi="宋体" w:cs="宋体"/>
          <w:sz w:val="24"/>
        </w:rPr>
        <w:t>（2）向</w:t>
      </w:r>
      <w:r>
        <w:rPr>
          <w:rFonts w:hint="eastAsia" w:ascii="宋体" w:hAnsi="宋体" w:cs="宋体"/>
          <w:b/>
          <w:bCs/>
          <w:sz w:val="24"/>
          <w:u w:val="single"/>
        </w:rPr>
        <w:t>常州市金坛区人民法院</w:t>
      </w:r>
      <w:r>
        <w:rPr>
          <w:rFonts w:hint="eastAsia" w:ascii="宋体" w:hAnsi="宋体" w:cs="宋体"/>
          <w:sz w:val="24"/>
        </w:rPr>
        <w:t>起诉。</w:t>
      </w:r>
    </w:p>
    <w:p>
      <w:pPr>
        <w:spacing w:line="560" w:lineRule="exact"/>
        <w:ind w:firstLine="480" w:firstLineChars="200"/>
        <w:rPr>
          <w:rFonts w:ascii="宋体" w:hAnsi="宋体" w:cs="宋体"/>
          <w:color w:val="000000"/>
          <w:sz w:val="24"/>
        </w:rPr>
      </w:pPr>
      <w:bookmarkStart w:id="1139" w:name="_Toc489620103"/>
      <w:r>
        <w:rPr>
          <w:rFonts w:hint="eastAsia" w:ascii="宋体" w:hAnsi="宋体" w:cs="宋体"/>
          <w:color w:val="000000"/>
          <w:sz w:val="24"/>
        </w:rPr>
        <w:t>21．补充条款</w:t>
      </w:r>
      <w:bookmarkEnd w:id="1139"/>
    </w:p>
    <w:p>
      <w:pPr>
        <w:spacing w:line="560" w:lineRule="exact"/>
        <w:ind w:firstLine="480" w:firstLineChars="200"/>
        <w:rPr>
          <w:rFonts w:ascii="宋体" w:hAnsi="宋体" w:cs="宋体"/>
          <w:color w:val="000000"/>
          <w:sz w:val="24"/>
        </w:rPr>
      </w:pPr>
      <w:r>
        <w:rPr>
          <w:rFonts w:hint="eastAsia" w:ascii="宋体" w:hAnsi="宋体" w:cs="宋体"/>
          <w:color w:val="000000"/>
          <w:sz w:val="24"/>
        </w:rPr>
        <w:t>（1）工程开工日期以业主开工令为准。</w:t>
      </w:r>
    </w:p>
    <w:p>
      <w:pPr>
        <w:spacing w:line="560" w:lineRule="exact"/>
        <w:ind w:firstLine="480" w:firstLineChars="200"/>
        <w:rPr>
          <w:rFonts w:ascii="宋体" w:hAnsi="宋体" w:cs="宋体"/>
          <w:color w:val="000000"/>
          <w:sz w:val="24"/>
        </w:rPr>
      </w:pPr>
      <w:r>
        <w:rPr>
          <w:rFonts w:hint="eastAsia" w:ascii="宋体" w:hAnsi="宋体" w:cs="宋体"/>
          <w:color w:val="000000"/>
          <w:sz w:val="24"/>
        </w:rPr>
        <w:t>（2）竣工日期以建设、施工双方的竣工验收证明单中的时间为准。</w:t>
      </w:r>
    </w:p>
    <w:p>
      <w:pPr>
        <w:spacing w:line="560" w:lineRule="exact"/>
        <w:ind w:firstLine="480" w:firstLineChars="200"/>
        <w:rPr>
          <w:rFonts w:ascii="宋体" w:hAnsi="宋体" w:cs="宋体"/>
          <w:color w:val="000000"/>
          <w:sz w:val="24"/>
        </w:rPr>
      </w:pPr>
      <w:r>
        <w:rPr>
          <w:rFonts w:hint="eastAsia" w:ascii="宋体" w:hAnsi="宋体" w:cs="宋体"/>
          <w:color w:val="000000"/>
          <w:sz w:val="24"/>
        </w:rPr>
        <w:t>（3）承包人应及时整理送达竣工资料，并在10日内办理竣工备案表，逾期按拖延工期处罚。</w:t>
      </w:r>
    </w:p>
    <w:p>
      <w:pPr>
        <w:spacing w:line="560" w:lineRule="exact"/>
        <w:ind w:firstLine="480" w:firstLineChars="200"/>
        <w:rPr>
          <w:rFonts w:ascii="宋体" w:hAnsi="宋体" w:cs="宋体"/>
          <w:color w:val="000000"/>
          <w:sz w:val="24"/>
        </w:rPr>
      </w:pPr>
      <w:r>
        <w:rPr>
          <w:rFonts w:hint="eastAsia" w:ascii="宋体" w:hAnsi="宋体" w:cs="宋体"/>
          <w:color w:val="000000"/>
          <w:sz w:val="24"/>
        </w:rPr>
        <w:t>（4）本工程竣工验收合格交付时必须做到工完场清，确保整洁、卫生。</w:t>
      </w:r>
    </w:p>
    <w:p>
      <w:pPr>
        <w:spacing w:line="560" w:lineRule="exact"/>
        <w:ind w:firstLine="480" w:firstLineChars="200"/>
        <w:rPr>
          <w:rFonts w:ascii="宋体" w:hAnsi="宋体" w:cs="宋体"/>
          <w:color w:val="000000"/>
          <w:sz w:val="24"/>
        </w:rPr>
      </w:pPr>
      <w:r>
        <w:rPr>
          <w:rFonts w:hint="eastAsia" w:ascii="宋体" w:hAnsi="宋体" w:cs="宋体"/>
          <w:color w:val="000000"/>
          <w:sz w:val="24"/>
        </w:rPr>
        <w:t>（5）在施工期间造成的矛盾等由承包人自行解决，由此产生的所有费用均包含在投标报价中。</w:t>
      </w:r>
    </w:p>
    <w:p>
      <w:pPr>
        <w:spacing w:line="560" w:lineRule="exact"/>
        <w:ind w:firstLine="480" w:firstLineChars="200"/>
        <w:rPr>
          <w:rFonts w:ascii="宋体" w:hAnsi="宋体" w:cs="宋体"/>
          <w:color w:val="000000"/>
          <w:sz w:val="24"/>
        </w:rPr>
      </w:pPr>
      <w:r>
        <w:rPr>
          <w:rFonts w:hint="eastAsia" w:ascii="宋体" w:hAnsi="宋体" w:cs="宋体"/>
          <w:color w:val="000000"/>
          <w:sz w:val="24"/>
        </w:rPr>
        <w:t>（6）本工程结算以审计单位的审定价为准。</w:t>
      </w:r>
    </w:p>
    <w:p>
      <w:pPr>
        <w:spacing w:line="560" w:lineRule="exact"/>
        <w:ind w:firstLine="480" w:firstLineChars="200"/>
        <w:rPr>
          <w:rFonts w:ascii="宋体" w:hAnsi="宋体" w:cs="宋体"/>
          <w:color w:val="000000"/>
          <w:sz w:val="24"/>
        </w:rPr>
      </w:pPr>
      <w:r>
        <w:rPr>
          <w:rFonts w:hint="eastAsia" w:ascii="宋体" w:hAnsi="宋体" w:cs="宋体"/>
          <w:color w:val="000000"/>
          <w:sz w:val="24"/>
        </w:rPr>
        <w:t>（7）关于结算审核费：本工程结算审核的核减率应控制在8%内（含8%）。如核减率≤8%，审核费用由发包人承担；8%&lt;核减率≤12%时，审核费用承包人必须承担全部审计费用的50%；核减率＞12%时，该工程所有审计费均由承包人承担。上述费用不为累进制。</w:t>
      </w:r>
    </w:p>
    <w:p>
      <w:pPr>
        <w:spacing w:line="560" w:lineRule="exact"/>
        <w:ind w:firstLine="480" w:firstLineChars="200"/>
        <w:rPr>
          <w:rFonts w:ascii="宋体" w:hAnsi="宋体" w:cs="宋体"/>
          <w:color w:val="000000"/>
          <w:sz w:val="24"/>
        </w:rPr>
      </w:pPr>
      <w:r>
        <w:rPr>
          <w:rFonts w:hint="eastAsia" w:ascii="宋体" w:hAnsi="宋体" w:cs="宋体"/>
          <w:color w:val="000000"/>
          <w:sz w:val="24"/>
        </w:rPr>
        <w:t>（8）因“新冠肺炎”疫情防控需要，进出部分通道可能封闭，施工车辆可能需要绕行，施工单位投标时已充分考虑此情况带来的降效因素，自行考虑施工方案及自主报价中。</w:t>
      </w:r>
    </w:p>
    <w:p>
      <w:pPr>
        <w:spacing w:line="560" w:lineRule="exact"/>
        <w:ind w:firstLine="480" w:firstLineChars="200"/>
        <w:rPr>
          <w:rFonts w:ascii="宋体" w:hAnsi="宋体" w:cs="宋体"/>
          <w:color w:val="000000"/>
          <w:sz w:val="24"/>
        </w:rPr>
      </w:pPr>
      <w:r>
        <w:rPr>
          <w:rFonts w:hint="eastAsia" w:ascii="宋体" w:hAnsi="宋体" w:cs="宋体"/>
          <w:color w:val="000000"/>
          <w:sz w:val="24"/>
        </w:rPr>
        <w:t>（</w:t>
      </w:r>
      <w:r>
        <w:rPr>
          <w:rFonts w:hint="eastAsia" w:ascii="宋体" w:hAnsi="宋体" w:cs="宋体"/>
          <w:color w:val="000000"/>
          <w:sz w:val="24"/>
          <w:lang w:val="en-US" w:eastAsia="zh-CN"/>
        </w:rPr>
        <w:t>9</w:t>
      </w:r>
      <w:r>
        <w:rPr>
          <w:rFonts w:hint="eastAsia" w:ascii="宋体" w:hAnsi="宋体" w:cs="宋体"/>
          <w:color w:val="000000"/>
          <w:sz w:val="24"/>
        </w:rPr>
        <w:t>）承包人疫情防控须按照</w:t>
      </w:r>
      <w:r>
        <w:rPr>
          <w:rFonts w:hint="eastAsia" w:ascii="宋体" w:hAnsi="宋体" w:cs="宋体"/>
          <w:color w:val="000000"/>
          <w:sz w:val="24"/>
          <w:lang w:eastAsia="zh-CN"/>
        </w:rPr>
        <w:t>相关</w:t>
      </w:r>
      <w:r>
        <w:rPr>
          <w:rFonts w:hint="eastAsia" w:ascii="宋体" w:hAnsi="宋体" w:cs="宋体"/>
          <w:color w:val="000000"/>
          <w:sz w:val="24"/>
        </w:rPr>
        <w:t>要求，否则发包人有权解除合同，相关责任由承包人负责，并承担相应赔偿。</w:t>
      </w:r>
    </w:p>
    <w:p>
      <w:pPr>
        <w:spacing w:line="560" w:lineRule="exact"/>
        <w:ind w:firstLine="480" w:firstLineChars="200"/>
        <w:rPr>
          <w:rFonts w:ascii="宋体" w:hAnsi="宋体" w:cs="宋体"/>
          <w:color w:val="000000"/>
          <w:sz w:val="24"/>
        </w:rPr>
      </w:pPr>
      <w:r>
        <w:rPr>
          <w:rFonts w:hint="eastAsia" w:ascii="宋体" w:hAnsi="宋体" w:cs="宋体"/>
          <w:color w:val="000000"/>
          <w:sz w:val="24"/>
        </w:rPr>
        <w:t>（11）由于疫情造成的损失等，由承包人自行考虑，发包人不因此另行支付费用。</w:t>
      </w:r>
    </w:p>
    <w:p>
      <w:pPr>
        <w:spacing w:line="560" w:lineRule="exact"/>
        <w:ind w:firstLine="480" w:firstLineChars="200"/>
        <w:rPr>
          <w:rFonts w:ascii="宋体" w:hAnsi="宋体" w:cs="宋体"/>
          <w:color w:val="000000"/>
          <w:sz w:val="24"/>
        </w:rPr>
      </w:pPr>
      <w:r>
        <w:rPr>
          <w:rFonts w:hint="eastAsia" w:ascii="宋体" w:hAnsi="宋体" w:cs="宋体"/>
          <w:color w:val="000000"/>
          <w:sz w:val="24"/>
        </w:rPr>
        <w:t>（12）其他未尽事项，双另行协商决定。</w:t>
      </w:r>
    </w:p>
    <w:p>
      <w:pPr>
        <w:tabs>
          <w:tab w:val="left" w:pos="900"/>
          <w:tab w:val="left" w:pos="1080"/>
        </w:tabs>
        <w:snapToGrid w:val="0"/>
        <w:spacing w:line="400" w:lineRule="exact"/>
        <w:ind w:firstLine="480" w:firstLineChars="200"/>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400" w:lineRule="exact"/>
        <w:ind w:firstLine="480" w:firstLineChars="200"/>
        <w:rPr>
          <w:rFonts w:ascii="宋体" w:hAnsi="宋体" w:cs="宋体"/>
          <w:kern w:val="0"/>
          <w:sz w:val="24"/>
        </w:rPr>
      </w:pPr>
    </w:p>
    <w:p>
      <w:pPr>
        <w:tabs>
          <w:tab w:val="left" w:pos="900"/>
          <w:tab w:val="left" w:pos="1080"/>
        </w:tabs>
        <w:snapToGrid w:val="0"/>
        <w:spacing w:line="360" w:lineRule="auto"/>
        <w:ind w:firstLine="960" w:firstLineChars="400"/>
        <w:rPr>
          <w:rFonts w:ascii="宋体" w:hAnsi="宋体" w:cs="宋体"/>
          <w:kern w:val="0"/>
          <w:sz w:val="24"/>
        </w:rPr>
      </w:pPr>
      <w:r>
        <w:rPr>
          <w:rFonts w:hint="eastAsia" w:ascii="宋体" w:hAnsi="宋体" w:cs="宋体"/>
          <w:kern w:val="0"/>
          <w:sz w:val="24"/>
        </w:rPr>
        <w:t xml:space="preserve">甲方（公章）：                        乙方（公章）：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住所：                                住所：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法定代表人：                          法定代表人：</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委托代理人：                          委托代理人：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电话：                                电话：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传真：                                传真：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开户银行：                            开户银行：</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帐号：                                帐号：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邮政编码：                            邮政编码：     </w:t>
      </w: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jc w:val="left"/>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jc w:val="left"/>
        <w:rPr>
          <w:rFonts w:ascii="宋体" w:hAnsi="宋体" w:cs="宋体"/>
          <w:kern w:val="0"/>
          <w:sz w:val="24"/>
        </w:rPr>
      </w:pPr>
    </w:p>
    <w:p>
      <w:pPr>
        <w:tabs>
          <w:tab w:val="left" w:pos="900"/>
          <w:tab w:val="left" w:pos="1080"/>
        </w:tabs>
        <w:snapToGrid w:val="0"/>
        <w:spacing w:line="360" w:lineRule="auto"/>
        <w:jc w:val="left"/>
        <w:rPr>
          <w:rFonts w:ascii="宋体" w:hAnsi="宋体" w:cs="宋体"/>
          <w:kern w:val="0"/>
          <w:sz w:val="24"/>
        </w:rPr>
      </w:pPr>
    </w:p>
    <w:p>
      <w:pPr>
        <w:tabs>
          <w:tab w:val="left" w:pos="900"/>
          <w:tab w:val="left" w:pos="1080"/>
        </w:tabs>
        <w:snapToGrid w:val="0"/>
        <w:spacing w:line="360" w:lineRule="auto"/>
        <w:jc w:val="left"/>
        <w:rPr>
          <w:rFonts w:ascii="宋体" w:hAnsi="宋体" w:cs="宋体"/>
          <w:kern w:val="0"/>
          <w:sz w:val="24"/>
        </w:rPr>
      </w:pPr>
    </w:p>
    <w:p>
      <w:pPr>
        <w:tabs>
          <w:tab w:val="left" w:pos="900"/>
          <w:tab w:val="left" w:pos="1080"/>
        </w:tabs>
        <w:snapToGrid w:val="0"/>
        <w:spacing w:line="360" w:lineRule="auto"/>
        <w:jc w:val="left"/>
        <w:rPr>
          <w:rFonts w:ascii="宋体" w:hAnsi="宋体" w:cs="宋体"/>
          <w:kern w:val="0"/>
          <w:sz w:val="24"/>
        </w:rPr>
      </w:pPr>
    </w:p>
    <w:p>
      <w:pPr>
        <w:tabs>
          <w:tab w:val="left" w:pos="900"/>
          <w:tab w:val="left" w:pos="1080"/>
        </w:tabs>
        <w:snapToGrid w:val="0"/>
        <w:spacing w:line="360" w:lineRule="auto"/>
        <w:jc w:val="left"/>
        <w:rPr>
          <w:rFonts w:ascii="宋体" w:hAnsi="宋体"/>
          <w:sz w:val="24"/>
        </w:rPr>
      </w:pPr>
    </w:p>
    <w:p>
      <w:pPr>
        <w:tabs>
          <w:tab w:val="left" w:pos="900"/>
          <w:tab w:val="left" w:pos="1080"/>
        </w:tabs>
        <w:snapToGrid w:val="0"/>
        <w:spacing w:line="360" w:lineRule="auto"/>
        <w:jc w:val="left"/>
        <w:rPr>
          <w:rFonts w:ascii="宋体" w:hAnsi="宋体"/>
          <w:sz w:val="24"/>
        </w:rPr>
      </w:pPr>
    </w:p>
    <w:p>
      <w:pPr>
        <w:tabs>
          <w:tab w:val="left" w:pos="900"/>
          <w:tab w:val="left" w:pos="1080"/>
        </w:tabs>
        <w:snapToGrid w:val="0"/>
        <w:spacing w:line="360" w:lineRule="auto"/>
        <w:jc w:val="left"/>
        <w:rPr>
          <w:rFonts w:hint="eastAsia" w:ascii="宋体" w:hAnsi="宋体"/>
          <w:sz w:val="24"/>
        </w:rPr>
      </w:pPr>
    </w:p>
    <w:p>
      <w:pPr>
        <w:tabs>
          <w:tab w:val="left" w:pos="900"/>
          <w:tab w:val="left" w:pos="1080"/>
        </w:tabs>
        <w:snapToGrid w:val="0"/>
        <w:spacing w:line="360" w:lineRule="auto"/>
        <w:jc w:val="left"/>
        <w:rPr>
          <w:rFonts w:hint="eastAsia" w:ascii="宋体" w:hAnsi="宋体"/>
          <w:sz w:val="24"/>
        </w:rPr>
      </w:pPr>
    </w:p>
    <w:p>
      <w:pPr>
        <w:tabs>
          <w:tab w:val="left" w:pos="900"/>
          <w:tab w:val="left" w:pos="1080"/>
        </w:tabs>
        <w:snapToGrid w:val="0"/>
        <w:spacing w:line="360" w:lineRule="auto"/>
        <w:jc w:val="left"/>
        <w:rPr>
          <w:rFonts w:hint="eastAsia" w:ascii="宋体" w:hAnsi="宋体"/>
          <w:sz w:val="24"/>
        </w:rPr>
      </w:pPr>
    </w:p>
    <w:p>
      <w:pPr>
        <w:tabs>
          <w:tab w:val="left" w:pos="900"/>
          <w:tab w:val="left" w:pos="1080"/>
        </w:tabs>
        <w:snapToGrid w:val="0"/>
        <w:spacing w:line="360" w:lineRule="auto"/>
        <w:jc w:val="left"/>
        <w:rPr>
          <w:rFonts w:hint="eastAsia" w:ascii="宋体" w:hAnsi="宋体"/>
          <w:sz w:val="24"/>
        </w:rPr>
      </w:pPr>
    </w:p>
    <w:p>
      <w:pPr>
        <w:tabs>
          <w:tab w:val="left" w:pos="900"/>
          <w:tab w:val="left" w:pos="1080"/>
        </w:tabs>
        <w:snapToGrid w:val="0"/>
        <w:spacing w:line="360" w:lineRule="auto"/>
        <w:jc w:val="left"/>
        <w:rPr>
          <w:rFonts w:ascii="宋体" w:hAnsi="宋体" w:cs="宋体"/>
          <w:kern w:val="0"/>
          <w:sz w:val="24"/>
        </w:rPr>
      </w:pPr>
      <w:r>
        <w:rPr>
          <w:rFonts w:hint="eastAsia" w:ascii="宋体" w:hAnsi="宋体"/>
          <w:sz w:val="24"/>
        </w:rPr>
        <w:t>附件1：</w:t>
      </w:r>
    </w:p>
    <w:p>
      <w:pPr>
        <w:spacing w:beforeLines="50" w:afterLines="50" w:line="440" w:lineRule="exact"/>
        <w:jc w:val="center"/>
        <w:rPr>
          <w:rFonts w:ascii="宋体" w:hAnsi="宋体" w:cs="宋体"/>
          <w:color w:val="000000"/>
          <w:sz w:val="24"/>
        </w:rPr>
      </w:pPr>
      <w:r>
        <w:rPr>
          <w:rFonts w:hint="eastAsia" w:ascii="宋体" w:hAnsi="宋体" w:cs="宋体"/>
          <w:kern w:val="0"/>
          <w:sz w:val="24"/>
        </w:rPr>
        <w:t xml:space="preserve">     </w:t>
      </w:r>
      <w:r>
        <w:rPr>
          <w:rFonts w:hint="eastAsia" w:ascii="宋体" w:hAnsi="宋体" w:cs="宋体"/>
          <w:b/>
          <w:bCs/>
          <w:kern w:val="0"/>
          <w:sz w:val="24"/>
        </w:rPr>
        <w:t xml:space="preserve"> </w:t>
      </w:r>
      <w:r>
        <w:rPr>
          <w:rFonts w:hint="eastAsia" w:ascii="宋体" w:hAnsi="宋体" w:cs="宋体"/>
          <w:b/>
          <w:bCs/>
          <w:color w:val="000000"/>
          <w:sz w:val="24"/>
        </w:rPr>
        <w:t>工程质量保修书</w:t>
      </w:r>
    </w:p>
    <w:p>
      <w:pPr>
        <w:spacing w:line="440" w:lineRule="exact"/>
        <w:ind w:firstLine="480" w:firstLineChars="200"/>
        <w:rPr>
          <w:rFonts w:ascii="宋体" w:hAnsi="宋体" w:cs="宋体"/>
          <w:color w:val="000000"/>
          <w:sz w:val="24"/>
        </w:rPr>
      </w:pPr>
      <w:r>
        <w:rPr>
          <w:rFonts w:hint="eastAsia" w:ascii="宋体" w:hAnsi="宋体" w:cs="宋体"/>
          <w:color w:val="000000"/>
          <w:sz w:val="24"/>
        </w:rPr>
        <w:t>发包人（全称）：</w:t>
      </w:r>
    </w:p>
    <w:p>
      <w:pPr>
        <w:spacing w:line="440" w:lineRule="exact"/>
        <w:rPr>
          <w:rFonts w:ascii="宋体" w:hAnsi="宋体" w:cs="宋体"/>
          <w:color w:val="000000"/>
          <w:sz w:val="24"/>
        </w:rPr>
      </w:pPr>
      <w:r>
        <w:rPr>
          <w:rFonts w:hint="eastAsia" w:ascii="宋体" w:hAnsi="宋体" w:cs="宋体"/>
          <w:color w:val="000000"/>
          <w:sz w:val="24"/>
        </w:rPr>
        <w:t>　　承包人（全称）：</w:t>
      </w:r>
    </w:p>
    <w:p>
      <w:pPr>
        <w:spacing w:line="360" w:lineRule="auto"/>
        <w:rPr>
          <w:rFonts w:hint="eastAsia"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t>　　发包人和承包人根据《中华人民共和国建筑法》和《建设工程质量管理条例》，经协商一致就（工程全称）签订工程质量保修书。</w:t>
      </w:r>
    </w:p>
    <w:p>
      <w:pPr>
        <w:spacing w:line="360" w:lineRule="auto"/>
        <w:rPr>
          <w:rFonts w:ascii="宋体" w:hAnsi="宋体" w:cs="宋体"/>
          <w:color w:val="000000"/>
          <w:sz w:val="24"/>
        </w:rPr>
      </w:pPr>
      <w:r>
        <w:rPr>
          <w:rFonts w:hint="eastAsia" w:ascii="宋体" w:hAnsi="宋体" w:cs="宋体"/>
          <w:color w:val="000000"/>
          <w:sz w:val="24"/>
        </w:rPr>
        <w:t>　　一、工程质量保修范围和内容</w:t>
      </w:r>
    </w:p>
    <w:p>
      <w:pPr>
        <w:spacing w:line="360" w:lineRule="auto"/>
        <w:rPr>
          <w:rFonts w:ascii="宋体" w:hAnsi="宋体" w:cs="宋体"/>
          <w:color w:val="000000"/>
          <w:sz w:val="24"/>
        </w:rPr>
      </w:pPr>
      <w:r>
        <w:rPr>
          <w:rFonts w:hint="eastAsia" w:ascii="宋体" w:hAnsi="宋体" w:cs="宋体"/>
          <w:color w:val="000000"/>
          <w:sz w:val="24"/>
        </w:rPr>
        <w:t>　　承包人在质量保修期内，按照有关法律规定和合同约定，承担工程质量保修责任。</w:t>
      </w:r>
    </w:p>
    <w:p>
      <w:pPr>
        <w:spacing w:line="360" w:lineRule="auto"/>
        <w:rPr>
          <w:rFonts w:ascii="宋体" w:hAnsi="宋体" w:cs="宋体"/>
          <w:color w:val="000000"/>
          <w:sz w:val="24"/>
        </w:rPr>
      </w:pPr>
      <w:r>
        <w:rPr>
          <w:rFonts w:hint="eastAsia" w:ascii="宋体" w:hAnsi="宋体" w:cs="宋体"/>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w:t>
      </w:r>
    </w:p>
    <w:p>
      <w:pPr>
        <w:spacing w:line="360" w:lineRule="auto"/>
        <w:rPr>
          <w:rFonts w:ascii="宋体" w:hAnsi="宋体" w:cs="宋体"/>
          <w:color w:val="000000"/>
          <w:sz w:val="24"/>
        </w:rPr>
      </w:pPr>
      <w:r>
        <w:rPr>
          <w:rFonts w:hint="eastAsia" w:ascii="宋体" w:hAnsi="宋体" w:cs="宋体"/>
          <w:b/>
          <w:color w:val="000000"/>
          <w:sz w:val="24"/>
        </w:rPr>
        <w:t>　　</w:t>
      </w:r>
      <w:r>
        <w:rPr>
          <w:rFonts w:hint="eastAsia" w:ascii="宋体" w:hAnsi="宋体" w:cs="宋体"/>
          <w:color w:val="000000"/>
          <w:sz w:val="24"/>
        </w:rPr>
        <w:t>二、质量保修期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pPr>
        <w:spacing w:line="360" w:lineRule="auto"/>
        <w:ind w:firstLine="480" w:firstLineChars="200"/>
        <w:rPr>
          <w:rFonts w:ascii="宋体" w:hAnsi="宋体" w:cs="宋体"/>
          <w:color w:val="000000"/>
          <w:sz w:val="24"/>
        </w:rPr>
      </w:pPr>
      <w:r>
        <w:rPr>
          <w:rFonts w:hint="eastAsia" w:ascii="宋体" w:hAnsi="宋体" w:cs="宋体"/>
          <w:color w:val="000000"/>
          <w:sz w:val="24"/>
        </w:rPr>
        <w:t>1．地基基础工程和主体结构工程为设计文件规定的工程合理使用年限；</w:t>
      </w:r>
    </w:p>
    <w:p>
      <w:pPr>
        <w:spacing w:line="360" w:lineRule="auto"/>
        <w:ind w:firstLine="480" w:firstLineChars="200"/>
        <w:rPr>
          <w:rFonts w:ascii="宋体" w:hAnsi="宋体" w:cs="宋体"/>
          <w:color w:val="000000"/>
          <w:sz w:val="24"/>
        </w:rPr>
      </w:pPr>
      <w:r>
        <w:rPr>
          <w:rFonts w:hint="eastAsia" w:ascii="宋体" w:hAnsi="宋体" w:cs="宋体"/>
          <w:color w:val="000000"/>
          <w:sz w:val="24"/>
        </w:rPr>
        <w:t>2．屋面防水工程、有防水要求的卫生间、房间和外墙面的防渗为</w:t>
      </w:r>
      <w:r>
        <w:rPr>
          <w:rFonts w:hint="eastAsia" w:ascii="宋体" w:hAnsi="宋体" w:cs="宋体"/>
          <w:color w:val="000000"/>
          <w:sz w:val="24"/>
          <w:u w:val="single"/>
        </w:rPr>
        <w:t xml:space="preserve">   5     </w:t>
      </w:r>
      <w:r>
        <w:rPr>
          <w:rFonts w:hint="eastAsia" w:ascii="宋体" w:hAnsi="宋体" w:cs="宋体"/>
          <w:color w:val="000000"/>
          <w:sz w:val="24"/>
        </w:rPr>
        <w:t>年；</w:t>
      </w:r>
    </w:p>
    <w:p>
      <w:pPr>
        <w:spacing w:line="360" w:lineRule="auto"/>
        <w:ind w:firstLine="480" w:firstLineChars="200"/>
        <w:rPr>
          <w:rFonts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装修工程为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firstLine="480" w:firstLineChars="200"/>
        <w:rPr>
          <w:rFonts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电气管线、给排水管道、设备安装工程为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firstLine="480" w:firstLineChars="200"/>
        <w:rPr>
          <w:rFonts w:ascii="宋体" w:hAnsi="宋体" w:cs="宋体"/>
          <w:color w:val="000000"/>
          <w:sz w:val="24"/>
        </w:rPr>
      </w:pPr>
      <w:r>
        <w:rPr>
          <w:rFonts w:hint="eastAsia" w:ascii="宋体" w:hAnsi="宋体" w:cs="宋体"/>
          <w:color w:val="000000"/>
          <w:sz w:val="24"/>
        </w:rPr>
        <w:t>5</w:t>
      </w:r>
      <w:r>
        <w:rPr>
          <w:rFonts w:hint="eastAsia" w:ascii="宋体" w:hAnsi="宋体" w:cs="宋体"/>
          <w:sz w:val="24"/>
        </w:rPr>
        <w:t>．</w:t>
      </w:r>
      <w:r>
        <w:rPr>
          <w:rFonts w:hint="eastAsia" w:ascii="宋体" w:hAnsi="宋体" w:cs="宋体"/>
          <w:color w:val="000000"/>
          <w:sz w:val="24"/>
        </w:rPr>
        <w:t>供热与供冷系统为</w:t>
      </w:r>
      <w:r>
        <w:rPr>
          <w:rFonts w:hint="eastAsia" w:ascii="宋体" w:hAnsi="宋体" w:cs="宋体"/>
          <w:color w:val="000000"/>
          <w:sz w:val="24"/>
          <w:u w:val="single"/>
        </w:rPr>
        <w:t xml:space="preserve">   2     </w:t>
      </w:r>
      <w:r>
        <w:rPr>
          <w:rFonts w:hint="eastAsia" w:ascii="宋体" w:hAnsi="宋体" w:cs="宋体"/>
          <w:color w:val="000000"/>
          <w:sz w:val="24"/>
        </w:rPr>
        <w:t>个采暖期、供冷期；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6</w:t>
      </w:r>
      <w:r>
        <w:rPr>
          <w:rFonts w:hint="eastAsia" w:ascii="宋体" w:hAnsi="宋体" w:cs="宋体"/>
          <w:sz w:val="24"/>
        </w:rPr>
        <w:t>．</w:t>
      </w:r>
      <w:r>
        <w:rPr>
          <w:rFonts w:hint="eastAsia" w:ascii="宋体" w:hAnsi="宋体" w:cs="宋体"/>
          <w:color w:val="000000"/>
          <w:sz w:val="24"/>
        </w:rPr>
        <w:t>住宅小区内的给排水设施、道路等配套工程为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firstLine="480" w:firstLineChars="200"/>
        <w:rPr>
          <w:rFonts w:ascii="宋体" w:hAnsi="宋体" w:cs="宋体"/>
          <w:color w:val="000000"/>
          <w:sz w:val="24"/>
        </w:rPr>
      </w:pPr>
      <w:r>
        <w:rPr>
          <w:rFonts w:hint="eastAsia" w:ascii="宋体" w:hAnsi="宋体" w:cs="宋体"/>
          <w:color w:val="000000"/>
          <w:sz w:val="24"/>
        </w:rPr>
        <w:t>7</w:t>
      </w:r>
      <w:r>
        <w:rPr>
          <w:rFonts w:hint="eastAsia" w:ascii="宋体" w:hAnsi="宋体" w:cs="宋体"/>
          <w:sz w:val="24"/>
        </w:rPr>
        <w:t>．</w:t>
      </w:r>
      <w:r>
        <w:rPr>
          <w:rFonts w:hint="eastAsia" w:ascii="宋体" w:hAnsi="宋体" w:cs="宋体"/>
          <w:color w:val="000000"/>
          <w:sz w:val="24"/>
        </w:rPr>
        <w:t>其他项目保修期限约定如下：</w:t>
      </w:r>
      <w:r>
        <w:rPr>
          <w:rFonts w:hint="eastAsia" w:ascii="宋体" w:hAnsi="宋体" w:cs="宋体"/>
          <w:color w:val="000000"/>
          <w:sz w:val="24"/>
          <w:u w:val="single"/>
        </w:rPr>
        <w:t>本工程质保期2年</w:t>
      </w:r>
      <w:r>
        <w:rPr>
          <w:rFonts w:hint="eastAsia" w:ascii="宋体" w:hAnsi="宋体" w:cs="宋体"/>
          <w:color w:val="000000"/>
          <w:sz w:val="24"/>
        </w:rPr>
        <w:t>。</w:t>
      </w:r>
    </w:p>
    <w:p>
      <w:pPr>
        <w:spacing w:line="360" w:lineRule="auto"/>
        <w:rPr>
          <w:rFonts w:ascii="宋体" w:hAnsi="宋体" w:cs="宋体"/>
          <w:color w:val="000000"/>
          <w:sz w:val="24"/>
        </w:rPr>
      </w:pPr>
      <w:r>
        <w:rPr>
          <w:rFonts w:hint="eastAsia" w:ascii="宋体" w:hAnsi="宋体" w:cs="宋体"/>
          <w:color w:val="000000"/>
          <w:sz w:val="24"/>
        </w:rPr>
        <w:t>　　质量保修期自工程竣工验收合格之日起计算。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三、缺陷责任期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工程缺陷责任期为</w:t>
      </w:r>
      <w:r>
        <w:rPr>
          <w:rFonts w:hint="eastAsia" w:ascii="宋体" w:hAnsi="宋体" w:cs="宋体"/>
          <w:color w:val="000000"/>
          <w:sz w:val="24"/>
          <w:u w:val="single"/>
        </w:rPr>
        <w:t xml:space="preserve">   24  </w:t>
      </w:r>
      <w:r>
        <w:rPr>
          <w:rFonts w:hint="eastAsia" w:ascii="宋体" w:hAnsi="宋体" w:cs="宋体"/>
          <w:color w:val="000000"/>
          <w:sz w:val="24"/>
        </w:rPr>
        <w:t>个月，缺陷责任期自工程实际竣工之日起计算。单位工程先于全部工程进行验收，单位工程缺陷责任期自单位工程验收合格之日起算。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pPr>
        <w:spacing w:line="360" w:lineRule="auto"/>
        <w:rPr>
          <w:rFonts w:ascii="宋体" w:hAnsi="宋体" w:cs="宋体"/>
          <w:color w:val="000000"/>
          <w:sz w:val="24"/>
        </w:rPr>
      </w:pPr>
      <w:r>
        <w:rPr>
          <w:rFonts w:hint="eastAsia" w:ascii="宋体" w:hAnsi="宋体" w:cs="宋体"/>
          <w:color w:val="000000"/>
          <w:sz w:val="24"/>
        </w:rPr>
        <w:t xml:space="preserve">    四、质量保修责任</w:t>
      </w:r>
    </w:p>
    <w:p>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1</w:t>
      </w:r>
      <w:r>
        <w:rPr>
          <w:rFonts w:hint="eastAsia" w:ascii="宋体" w:hAnsi="宋体" w:cs="宋体"/>
          <w:sz w:val="24"/>
        </w:rPr>
        <w:t>．</w:t>
      </w:r>
      <w:r>
        <w:rPr>
          <w:rFonts w:hint="eastAsia" w:ascii="宋体" w:hAnsi="宋体" w:cs="宋体"/>
          <w:color w:val="000000"/>
          <w:sz w:val="24"/>
        </w:rPr>
        <w:t>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2．发生紧急事故需抢修的，承包人在接到事故通知后，应当立即到达事故现场抢修。</w:t>
      </w:r>
    </w:p>
    <w:p>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4．质量保修完成后，由发包人组织验收。</w:t>
      </w:r>
    </w:p>
    <w:p>
      <w:pPr>
        <w:spacing w:line="360" w:lineRule="auto"/>
        <w:rPr>
          <w:rFonts w:ascii="宋体" w:hAnsi="宋体" w:cs="宋体"/>
          <w:color w:val="000000"/>
          <w:sz w:val="24"/>
        </w:rPr>
      </w:pPr>
      <w:r>
        <w:rPr>
          <w:rFonts w:hint="eastAsia" w:ascii="宋体" w:hAnsi="宋体" w:cs="宋体"/>
          <w:color w:val="000000"/>
          <w:sz w:val="24"/>
        </w:rPr>
        <w:t>　　五、保修费用</w:t>
      </w:r>
    </w:p>
    <w:p>
      <w:pPr>
        <w:spacing w:line="360" w:lineRule="auto"/>
        <w:rPr>
          <w:rFonts w:ascii="宋体" w:hAnsi="宋体" w:cs="宋体"/>
          <w:color w:val="000000"/>
          <w:sz w:val="24"/>
        </w:rPr>
      </w:pPr>
      <w:r>
        <w:rPr>
          <w:rFonts w:hint="eastAsia" w:ascii="宋体" w:hAnsi="宋体" w:cs="宋体"/>
          <w:color w:val="000000"/>
          <w:sz w:val="24"/>
        </w:rPr>
        <w:t>　　保修费用由造成质量缺陷的责任方承担。</w:t>
      </w:r>
    </w:p>
    <w:p>
      <w:pPr>
        <w:spacing w:line="360" w:lineRule="auto"/>
        <w:ind w:firstLine="480" w:firstLineChars="200"/>
        <w:rPr>
          <w:rFonts w:ascii="宋体" w:hAnsi="宋体" w:cs="宋体"/>
          <w:color w:val="000000"/>
          <w:sz w:val="24"/>
        </w:rPr>
      </w:pPr>
      <w:r>
        <w:rPr>
          <w:rFonts w:hint="eastAsia" w:ascii="宋体" w:hAnsi="宋体" w:cs="宋体"/>
          <w:color w:val="000000"/>
          <w:sz w:val="24"/>
        </w:rPr>
        <w:t>六、双方约定的其他工程质量保修事项</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360" w:lineRule="auto"/>
        <w:ind w:firstLine="456" w:firstLineChars="190"/>
        <w:rPr>
          <w:rFonts w:ascii="宋体" w:hAnsi="宋体" w:cs="宋体"/>
          <w:color w:val="000000"/>
          <w:sz w:val="24"/>
        </w:rPr>
      </w:pPr>
      <w:r>
        <w:rPr>
          <w:rFonts w:hint="eastAsia" w:ascii="宋体" w:hAnsi="宋体" w:cs="宋体"/>
          <w:color w:val="000000"/>
          <w:sz w:val="24"/>
        </w:rPr>
        <w:t>工程质量保修书由发包人、承包人在工程竣工验收前共同签署，作为施工合同附件，其有效期限至保修期满。</w:t>
      </w:r>
    </w:p>
    <w:p>
      <w:pPr>
        <w:tabs>
          <w:tab w:val="left" w:pos="900"/>
          <w:tab w:val="left" w:pos="1080"/>
        </w:tabs>
        <w:snapToGrid w:val="0"/>
        <w:spacing w:line="360" w:lineRule="auto"/>
        <w:rPr>
          <w:rFonts w:ascii="宋体" w:hAnsi="宋体" w:cs="宋体"/>
          <w:kern w:val="0"/>
          <w:sz w:val="24"/>
        </w:rPr>
      </w:pPr>
    </w:p>
    <w:p>
      <w:pPr>
        <w:tabs>
          <w:tab w:val="left" w:pos="900"/>
          <w:tab w:val="left" w:pos="1080"/>
        </w:tabs>
        <w:snapToGrid w:val="0"/>
        <w:spacing w:line="360" w:lineRule="auto"/>
        <w:rPr>
          <w:rFonts w:ascii="宋体" w:hAnsi="宋体" w:cs="宋体"/>
          <w:kern w:val="0"/>
          <w:sz w:val="24"/>
        </w:rPr>
      </w:pPr>
    </w:p>
    <w:p>
      <w:pPr>
        <w:spacing w:line="440" w:lineRule="exact"/>
        <w:rPr>
          <w:rFonts w:ascii="宋体" w:hAnsi="宋体" w:cs="宋体"/>
          <w:color w:val="000000"/>
          <w:sz w:val="24"/>
          <w:u w:val="single"/>
        </w:rPr>
      </w:pPr>
      <w:r>
        <w:rPr>
          <w:rFonts w:hint="eastAsia" w:ascii="宋体" w:hAnsi="宋体" w:cs="宋体"/>
          <w:color w:val="000000"/>
          <w:sz w:val="24"/>
        </w:rPr>
        <w:t xml:space="preserve">发包人：  (公章)                           承包人：  (公章)                                 </w:t>
      </w:r>
    </w:p>
    <w:p>
      <w:pPr>
        <w:spacing w:line="440" w:lineRule="exact"/>
        <w:rPr>
          <w:rFonts w:ascii="宋体" w:hAnsi="宋体" w:cs="宋体"/>
          <w:color w:val="000000"/>
          <w:sz w:val="24"/>
        </w:rPr>
      </w:pPr>
      <w:r>
        <w:rPr>
          <w:rFonts w:hint="eastAsia" w:ascii="宋体" w:hAnsi="宋体" w:cs="宋体"/>
          <w:color w:val="000000"/>
          <w:sz w:val="24"/>
        </w:rPr>
        <w:t>法定代表人或其委托代理人：                 法定代表人或其委托代理人：</w:t>
      </w:r>
    </w:p>
    <w:p>
      <w:pPr>
        <w:spacing w:line="440" w:lineRule="exact"/>
        <w:rPr>
          <w:rFonts w:ascii="宋体" w:hAnsi="宋体" w:cs="宋体"/>
          <w:color w:val="000000"/>
          <w:sz w:val="24"/>
          <w:u w:val="single"/>
        </w:rPr>
      </w:pPr>
      <w:r>
        <w:rPr>
          <w:rFonts w:hint="eastAsia" w:ascii="宋体" w:hAnsi="宋体" w:cs="宋体"/>
          <w:color w:val="000000"/>
          <w:sz w:val="24"/>
        </w:rPr>
        <w:t xml:space="preserve">（签字或盖章）                            （签字或盖章）  </w:t>
      </w:r>
    </w:p>
    <w:p>
      <w:pPr>
        <w:tabs>
          <w:tab w:val="left" w:pos="4410"/>
        </w:tabs>
        <w:spacing w:line="440" w:lineRule="exact"/>
        <w:rPr>
          <w:rFonts w:ascii="宋体" w:hAnsi="宋体" w:cs="宋体"/>
          <w:color w:val="000000"/>
          <w:sz w:val="24"/>
        </w:rPr>
      </w:pPr>
      <w:r>
        <w:rPr>
          <w:rFonts w:hint="eastAsia" w:ascii="宋体" w:hAnsi="宋体" w:cs="宋体"/>
          <w:color w:val="000000"/>
          <w:sz w:val="24"/>
        </w:rPr>
        <w:t>组织机构代码：</w:t>
      </w:r>
      <w:r>
        <w:rPr>
          <w:rFonts w:hint="eastAsia" w:ascii="宋体" w:hAnsi="宋体" w:cs="宋体"/>
          <w:color w:val="000000"/>
          <w:sz w:val="24"/>
          <w:u w:val="single"/>
        </w:rPr>
        <w:t xml:space="preserve">       </w:t>
      </w:r>
      <w:r>
        <w:rPr>
          <w:rFonts w:hint="eastAsia" w:ascii="宋体" w:hAnsi="宋体" w:cs="宋体"/>
          <w:color w:val="000000"/>
          <w:sz w:val="24"/>
        </w:rPr>
        <w:t xml:space="preserve">                组织机构代码：</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  </w:t>
      </w:r>
    </w:p>
    <w:p>
      <w:pPr>
        <w:spacing w:line="440" w:lineRule="exact"/>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    </w:t>
      </w:r>
      <w:r>
        <w:rPr>
          <w:rFonts w:hint="eastAsia" w:ascii="宋体" w:hAnsi="宋体" w:cs="宋体"/>
          <w:color w:val="000000"/>
          <w:sz w:val="24"/>
        </w:rPr>
        <w:t xml:space="preserve">               邮政编码：</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u w:val="single"/>
        </w:rPr>
        <w:t xml:space="preserve">           </w:t>
      </w:r>
      <w:r>
        <w:rPr>
          <w:rFonts w:hint="eastAsia" w:ascii="宋体" w:hAnsi="宋体" w:cs="宋体"/>
          <w:color w:val="000000"/>
          <w:sz w:val="24"/>
        </w:rPr>
        <w:t xml:space="preserve">                法定代表人：</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委托代理人：</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  </w:t>
      </w:r>
    </w:p>
    <w:p>
      <w:pPr>
        <w:spacing w:line="440" w:lineRule="exact"/>
        <w:rPr>
          <w:rFonts w:ascii="宋体" w:hAnsi="宋体" w:cs="宋体"/>
          <w:color w:val="000000"/>
          <w:sz w:val="24"/>
        </w:rPr>
      </w:pPr>
      <w:r>
        <w:rPr>
          <w:rFonts w:hint="eastAsia" w:ascii="宋体" w:hAnsi="宋体" w:cs="宋体"/>
          <w:color w:val="000000"/>
          <w:sz w:val="24"/>
        </w:rPr>
        <w:t>电子信箱：</w:t>
      </w:r>
      <w:r>
        <w:rPr>
          <w:rFonts w:hint="eastAsia" w:ascii="宋体" w:hAnsi="宋体" w:cs="宋体"/>
          <w:color w:val="000000"/>
          <w:sz w:val="24"/>
          <w:u w:val="single"/>
        </w:rPr>
        <w:t>    </w:t>
      </w:r>
      <w:r>
        <w:rPr>
          <w:rFonts w:hint="eastAsia" w:ascii="宋体" w:hAnsi="宋体" w:cs="宋体"/>
          <w:color w:val="000000"/>
          <w:sz w:val="24"/>
        </w:rPr>
        <w:t xml:space="preserve">             电子信箱：</w:t>
      </w:r>
      <w:r>
        <w:rPr>
          <w:rFonts w:hint="eastAsia" w:ascii="宋体" w:hAnsi="宋体" w:cs="宋体"/>
          <w:color w:val="000000"/>
          <w:sz w:val="24"/>
          <w:u w:val="single"/>
        </w:rPr>
        <w:t>    </w:t>
      </w:r>
    </w:p>
    <w:p>
      <w:pPr>
        <w:spacing w:line="440" w:lineRule="exact"/>
        <w:rPr>
          <w:rFonts w:ascii="宋体" w:hAnsi="宋体" w:cs="宋体"/>
          <w:color w:val="000000"/>
          <w:sz w:val="24"/>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 </w:t>
      </w:r>
    </w:p>
    <w:p>
      <w:pPr>
        <w:spacing w:line="440" w:lineRule="exact"/>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w:t>
      </w:r>
    </w:p>
    <w:p>
      <w:pPr>
        <w:tabs>
          <w:tab w:val="left" w:pos="900"/>
          <w:tab w:val="left" w:pos="1080"/>
        </w:tabs>
        <w:snapToGrid w:val="0"/>
        <w:spacing w:line="360" w:lineRule="auto"/>
        <w:rPr>
          <w:rFonts w:ascii="宋体" w:hAnsi="宋体" w:cs="宋体"/>
          <w:kern w:val="0"/>
          <w:sz w:val="24"/>
        </w:rPr>
      </w:pPr>
    </w:p>
    <w:p>
      <w:pPr>
        <w:tabs>
          <w:tab w:val="left" w:pos="900"/>
          <w:tab w:val="left" w:pos="1080"/>
        </w:tabs>
        <w:snapToGrid w:val="0"/>
        <w:spacing w:line="360" w:lineRule="auto"/>
        <w:rPr>
          <w:rFonts w:ascii="宋体" w:hAnsi="宋体" w:cs="宋体"/>
          <w:kern w:val="0"/>
          <w:sz w:val="24"/>
        </w:rPr>
      </w:pPr>
      <w:r>
        <w:rPr>
          <w:rFonts w:hint="eastAsia" w:ascii="宋体" w:hAnsi="宋体" w:cs="宋体"/>
          <w:kern w:val="0"/>
          <w:sz w:val="24"/>
        </w:rPr>
        <w:t xml:space="preserve">                      </w:t>
      </w:r>
    </w:p>
    <w:p>
      <w:pPr>
        <w:tabs>
          <w:tab w:val="left" w:pos="900"/>
          <w:tab w:val="left" w:pos="1080"/>
        </w:tabs>
        <w:snapToGrid w:val="0"/>
        <w:spacing w:line="360" w:lineRule="auto"/>
        <w:rPr>
          <w:rFonts w:ascii="宋体" w:hAnsi="宋体" w:cs="宋体"/>
          <w:kern w:val="0"/>
          <w:sz w:val="24"/>
        </w:rPr>
      </w:pPr>
    </w:p>
    <w:p>
      <w:pPr>
        <w:tabs>
          <w:tab w:val="left" w:pos="900"/>
          <w:tab w:val="left" w:pos="1080"/>
        </w:tabs>
        <w:snapToGrid w:val="0"/>
        <w:spacing w:line="360" w:lineRule="auto"/>
        <w:rPr>
          <w:rFonts w:ascii="宋体" w:hAnsi="宋体" w:cs="宋体"/>
          <w:kern w:val="0"/>
          <w:sz w:val="24"/>
        </w:rPr>
      </w:pPr>
    </w:p>
    <w:p>
      <w:pPr>
        <w:tabs>
          <w:tab w:val="left" w:pos="900"/>
          <w:tab w:val="left" w:pos="1080"/>
        </w:tabs>
        <w:snapToGrid w:val="0"/>
        <w:spacing w:line="360" w:lineRule="auto"/>
        <w:rPr>
          <w:rFonts w:ascii="宋体" w:hAnsi="宋体" w:cs="宋体"/>
          <w:kern w:val="0"/>
          <w:sz w:val="24"/>
        </w:rPr>
      </w:pPr>
    </w:p>
    <w:p>
      <w:pPr>
        <w:spacing w:line="360" w:lineRule="auto"/>
        <w:rPr>
          <w:rFonts w:ascii="宋体" w:hAnsi="宋体"/>
          <w:szCs w:val="21"/>
        </w:rPr>
      </w:pPr>
      <w:r>
        <w:rPr>
          <w:rFonts w:hint="eastAsia" w:ascii="宋体" w:hAnsi="宋体"/>
          <w:sz w:val="24"/>
        </w:rPr>
        <w:t>附件2：</w:t>
      </w:r>
    </w:p>
    <w:p>
      <w:pPr>
        <w:spacing w:line="360" w:lineRule="auto"/>
        <w:jc w:val="center"/>
        <w:rPr>
          <w:rFonts w:ascii="宋体" w:hAnsi="宋体"/>
          <w:b/>
          <w:sz w:val="24"/>
        </w:rPr>
      </w:pPr>
      <w:r>
        <w:rPr>
          <w:rFonts w:ascii="宋体" w:hAnsi="宋体"/>
          <w:b/>
          <w:sz w:val="24"/>
        </w:rPr>
        <w:t>工程安全生产协议书</w:t>
      </w:r>
    </w:p>
    <w:p>
      <w:pPr>
        <w:pStyle w:val="2"/>
      </w:pPr>
    </w:p>
    <w:p>
      <w:pPr>
        <w:spacing w:line="360" w:lineRule="auto"/>
        <w:ind w:firstLine="480" w:firstLineChars="200"/>
        <w:rPr>
          <w:rFonts w:ascii="宋体" w:hAnsi="宋体"/>
          <w:sz w:val="24"/>
        </w:rPr>
      </w:pPr>
      <w:r>
        <w:rPr>
          <w:rFonts w:ascii="宋体" w:hAnsi="宋体"/>
          <w:sz w:val="24"/>
        </w:rPr>
        <w:t>为了安全、文明地完成</w:t>
      </w:r>
      <w:r>
        <w:rPr>
          <w:rFonts w:hint="eastAsia" w:ascii="宋体" w:hAnsi="宋体"/>
          <w:bCs/>
          <w:sz w:val="24"/>
          <w:u w:val="single"/>
        </w:rPr>
        <w:t xml:space="preserve">                        （项目名称）</w:t>
      </w:r>
      <w:r>
        <w:rPr>
          <w:rFonts w:ascii="宋体" w:hAnsi="宋体"/>
          <w:sz w:val="24"/>
        </w:rPr>
        <w:t>施工任务，确保生产过程中职工的安全和健康，严格贯彻执行建设部颁发的（JGJ59—2011）《建筑施工安全检查标准》。明确双方的施工安全生产职责，经协商议定以下条款，双方共同遵照执行。</w:t>
      </w:r>
    </w:p>
    <w:p>
      <w:pPr>
        <w:spacing w:line="360" w:lineRule="auto"/>
        <w:rPr>
          <w:rFonts w:ascii="宋体" w:hAnsi="宋体"/>
          <w:sz w:val="24"/>
        </w:rPr>
      </w:pPr>
      <w:r>
        <w:rPr>
          <w:rFonts w:ascii="宋体" w:hAnsi="宋体"/>
          <w:sz w:val="24"/>
        </w:rPr>
        <w:t> 甲方（以下简称甲方）</w:t>
      </w:r>
      <w:r>
        <w:rPr>
          <w:rFonts w:hint="eastAsia" w:ascii="宋体" w:hAnsi="宋体"/>
          <w:sz w:val="24"/>
        </w:rPr>
        <w:t>：</w:t>
      </w:r>
      <w:r>
        <w:rPr>
          <w:rFonts w:ascii="宋体" w:hAnsi="宋体"/>
          <w:sz w:val="24"/>
        </w:rPr>
        <w:t xml:space="preserve"> </w:t>
      </w:r>
    </w:p>
    <w:p>
      <w:pPr>
        <w:spacing w:line="360" w:lineRule="auto"/>
        <w:rPr>
          <w:rFonts w:ascii="宋体" w:hAnsi="宋体"/>
          <w:sz w:val="24"/>
        </w:rPr>
      </w:pPr>
      <w:r>
        <w:rPr>
          <w:rFonts w:ascii="宋体" w:hAnsi="宋体"/>
          <w:sz w:val="24"/>
        </w:rPr>
        <w:t> 乙方（以下简称乙方）</w:t>
      </w:r>
      <w:r>
        <w:rPr>
          <w:rFonts w:hint="eastAsia" w:ascii="宋体" w:hAnsi="宋体"/>
          <w:sz w:val="24"/>
        </w:rPr>
        <w:t>：</w:t>
      </w:r>
      <w:r>
        <w:rPr>
          <w:rFonts w:ascii="宋体" w:hAnsi="宋体"/>
          <w:sz w:val="24"/>
        </w:rPr>
        <w:t xml:space="preserve"> </w:t>
      </w:r>
    </w:p>
    <w:p>
      <w:pPr>
        <w:spacing w:line="360" w:lineRule="auto"/>
        <w:rPr>
          <w:rFonts w:ascii="宋体" w:hAnsi="宋体"/>
          <w:sz w:val="24"/>
        </w:rPr>
      </w:pPr>
      <w:r>
        <w:rPr>
          <w:rFonts w:ascii="宋体" w:hAnsi="宋体"/>
          <w:sz w:val="24"/>
        </w:rPr>
        <w:t>协议如下：</w:t>
      </w:r>
    </w:p>
    <w:p>
      <w:pPr>
        <w:spacing w:line="360" w:lineRule="auto"/>
        <w:ind w:firstLine="480" w:firstLineChars="200"/>
        <w:rPr>
          <w:rFonts w:ascii="宋体" w:hAnsi="宋体"/>
          <w:sz w:val="24"/>
        </w:rPr>
      </w:pPr>
      <w:r>
        <w:rPr>
          <w:rFonts w:ascii="宋体" w:hAnsi="宋体"/>
          <w:sz w:val="24"/>
        </w:rPr>
        <w:t>一、甲方在乙方进场施工前，负责对乙方职工进行进场安全生产教育，并根据乙方施工项目内容进行安全操作规程和分部分项安全技术交底，将乙方施工的工程项目纳入现场安全保证体系管理范围。接受乙方应配合甲方做好各项安全生产管理工作。</w:t>
      </w:r>
    </w:p>
    <w:p>
      <w:pPr>
        <w:spacing w:line="360" w:lineRule="auto"/>
        <w:ind w:firstLine="480" w:firstLineChars="200"/>
        <w:rPr>
          <w:rFonts w:ascii="宋体" w:hAnsi="宋体"/>
          <w:sz w:val="24"/>
        </w:rPr>
      </w:pPr>
      <w:r>
        <w:rPr>
          <w:rFonts w:ascii="宋体" w:hAnsi="宋体"/>
          <w:sz w:val="24"/>
        </w:rPr>
        <w:t>二、乙方在本协议生效后，方可进行施工。施工前必须对其职工进行三级安全教育，施工中必须严格遵守安全操作规程，接受甲方的安全监督和检查。如有违章指挥、违章操作行为；或在安全防护设施方面存在缺陷的，甲方有权提出停工整顿限期整改，并对乙方单位予以罚款处理。</w:t>
      </w:r>
    </w:p>
    <w:p>
      <w:pPr>
        <w:spacing w:line="360" w:lineRule="auto"/>
        <w:ind w:firstLine="480" w:firstLineChars="200"/>
        <w:rPr>
          <w:rFonts w:ascii="宋体" w:hAnsi="宋体"/>
          <w:sz w:val="24"/>
        </w:rPr>
      </w:pPr>
      <w:r>
        <w:rPr>
          <w:rFonts w:ascii="宋体" w:hAnsi="宋体"/>
          <w:sz w:val="24"/>
        </w:rPr>
        <w:t>三、施工期间，甲方</w:t>
      </w:r>
      <w:r>
        <w:rPr>
          <w:rFonts w:hint="eastAsia" w:ascii="宋体" w:hAnsi="宋体"/>
          <w:sz w:val="24"/>
          <w:u w:val="single"/>
        </w:rPr>
        <w:t xml:space="preserve">   </w:t>
      </w:r>
      <w:r>
        <w:rPr>
          <w:rFonts w:hint="eastAsia" w:ascii="宋体" w:hAnsi="宋体"/>
          <w:color w:val="000000"/>
          <w:sz w:val="24"/>
          <w:u w:val="single"/>
        </w:rPr>
        <w:t xml:space="preserve"> </w:t>
      </w:r>
      <w:r>
        <w:rPr>
          <w:rFonts w:hint="eastAsia" w:ascii="宋体" w:hAnsi="宋体"/>
          <w:sz w:val="24"/>
          <w:u w:val="single"/>
        </w:rPr>
        <w:t xml:space="preserve">    </w:t>
      </w:r>
      <w:r>
        <w:rPr>
          <w:rFonts w:ascii="宋体" w:hAnsi="宋体"/>
          <w:sz w:val="24"/>
        </w:rPr>
        <w:t>为本工程项目安全生产总负责人，甲方负责联系、检查、督促乙方执行有关安全生产、消防等规定。乙方指派</w:t>
      </w:r>
      <w:r>
        <w:rPr>
          <w:rFonts w:ascii="宋体" w:hAnsi="宋体"/>
          <w:sz w:val="24"/>
          <w:u w:val="single"/>
        </w:rPr>
        <w:t>  </w:t>
      </w:r>
      <w:r>
        <w:rPr>
          <w:rFonts w:hint="eastAsia" w:ascii="宋体" w:hAnsi="宋体"/>
          <w:sz w:val="24"/>
          <w:u w:val="single"/>
        </w:rPr>
        <w:t xml:space="preserve"> </w:t>
      </w:r>
      <w:r>
        <w:rPr>
          <w:rFonts w:ascii="宋体" w:hAnsi="宋体"/>
          <w:sz w:val="24"/>
          <w:u w:val="single"/>
        </w:rPr>
        <w:t>  </w:t>
      </w:r>
      <w:r>
        <w:rPr>
          <w:rFonts w:ascii="宋体" w:hAnsi="宋体"/>
          <w:sz w:val="24"/>
        </w:rPr>
        <w:t>为工程项目现场安全生产负责人，指派</w:t>
      </w:r>
      <w:r>
        <w:rPr>
          <w:rFonts w:ascii="宋体" w:hAnsi="宋体"/>
          <w:sz w:val="24"/>
          <w:u w:val="single"/>
        </w:rPr>
        <w:t> </w:t>
      </w:r>
      <w:r>
        <w:rPr>
          <w:rFonts w:hint="eastAsia" w:ascii="宋体" w:hAnsi="宋体"/>
          <w:sz w:val="24"/>
          <w:u w:val="single"/>
        </w:rPr>
        <w:t xml:space="preserve">     </w:t>
      </w:r>
      <w:r>
        <w:rPr>
          <w:rFonts w:ascii="宋体" w:hAnsi="宋体"/>
          <w:sz w:val="24"/>
          <w:u w:val="single"/>
        </w:rPr>
        <w:t> </w:t>
      </w:r>
      <w:r>
        <w:rPr>
          <w:rFonts w:ascii="宋体" w:hAnsi="宋体"/>
          <w:sz w:val="24"/>
        </w:rPr>
        <w:t>为本工程项目现场安全员。</w:t>
      </w:r>
    </w:p>
    <w:p>
      <w:pPr>
        <w:spacing w:line="360" w:lineRule="auto"/>
        <w:ind w:firstLine="480" w:firstLineChars="200"/>
        <w:rPr>
          <w:rFonts w:ascii="宋体" w:hAnsi="宋体"/>
          <w:sz w:val="24"/>
        </w:rPr>
      </w:pPr>
      <w:r>
        <w:rPr>
          <w:rFonts w:ascii="宋体" w:hAnsi="宋体"/>
          <w:sz w:val="24"/>
        </w:rPr>
        <w:t>四、乙方必须建立现场安全管理组织体制，制定安全管理制度，全面落实安全生产责任制，严格贯彻和认真执行有关安全生产和劳动保护的各项法规、标准、条例、规定和制度。经常组织职工学习安全操作规程，教育职工遵章守纪，加强自我保护，自觉穿戴好劳动防护用品，做到劳逸结合，合理安排作息时间，确保职工安全和建康。</w:t>
      </w:r>
    </w:p>
    <w:p>
      <w:pPr>
        <w:spacing w:line="360" w:lineRule="auto"/>
        <w:ind w:firstLine="480" w:firstLineChars="200"/>
        <w:rPr>
          <w:rFonts w:ascii="宋体" w:hAnsi="宋体"/>
          <w:sz w:val="24"/>
        </w:rPr>
      </w:pPr>
      <w:r>
        <w:rPr>
          <w:rFonts w:ascii="宋体" w:hAnsi="宋体"/>
          <w:sz w:val="24"/>
        </w:rPr>
        <w:t>五、特殊工种人员必须持证上岗。乙方在作业前必须将进场作业的特殊工种人员的《特殊工种操作证》原件提交甲方安全人员审验并复印留底。乙方负责对特殊工种人员的日常安全生产管理，对特殊工种人员应进行相关工种的操作规程教育，按规定定期审证，严禁无证操作。</w:t>
      </w:r>
    </w:p>
    <w:p>
      <w:pPr>
        <w:spacing w:line="360" w:lineRule="auto"/>
        <w:ind w:firstLine="480" w:firstLineChars="200"/>
        <w:rPr>
          <w:rFonts w:ascii="宋体" w:hAnsi="宋体"/>
          <w:sz w:val="24"/>
        </w:rPr>
      </w:pPr>
      <w:r>
        <w:rPr>
          <w:rFonts w:ascii="宋体" w:hAnsi="宋体"/>
          <w:sz w:val="24"/>
        </w:rPr>
        <w:t>六、乙方所进场的机械设备、电器电箱、安全防护用品必须符合安全要求和建筑行业准入要求，以上物品进场时必须向甲方提出申请进场安全验收，检验合格后，由甲方出具机具验收合格单后方可投入使用。施工中乙方不得使用无安全防护装置的机具、电器设备，严禁使用假冒伪劣产品。由甲方提供给乙方的机具、电器设备等，必须经乙方检查合格，并办理书面交接手续。</w:t>
      </w:r>
    </w:p>
    <w:p>
      <w:pPr>
        <w:spacing w:line="360" w:lineRule="auto"/>
        <w:ind w:firstLine="480" w:firstLineChars="200"/>
        <w:rPr>
          <w:rFonts w:ascii="宋体" w:hAnsi="宋体"/>
          <w:sz w:val="24"/>
        </w:rPr>
      </w:pPr>
      <w:r>
        <w:rPr>
          <w:rFonts w:ascii="宋体" w:hAnsi="宋体"/>
          <w:sz w:val="24"/>
        </w:rPr>
        <w:t>七、乙方在施工中，应根据甲方编制的施工组织设计组织实施，及时落实相应的施工安全技术措施，做好事故防范工作。所有工程施工人员都必须严格遵守各项安全操作规程和有关规定，严禁违章指挥和违章作业。</w:t>
      </w:r>
    </w:p>
    <w:p>
      <w:pPr>
        <w:spacing w:line="360" w:lineRule="auto"/>
        <w:ind w:firstLine="480" w:firstLineChars="200"/>
        <w:rPr>
          <w:rFonts w:ascii="宋体" w:hAnsi="宋体"/>
          <w:sz w:val="24"/>
        </w:rPr>
      </w:pPr>
      <w:r>
        <w:rPr>
          <w:rFonts w:ascii="宋体" w:hAnsi="宋体"/>
          <w:sz w:val="24"/>
        </w:rPr>
        <w:t>八、乙方对施工现场的各类安全防护设施，安全标志，不得擅自更动和拆除。如确需更动和拆除的，必须事先向甲方工程负责人或安全管理人员申报。经同意，并采取必要可靠的安全措施后，方可实施。</w:t>
      </w:r>
    </w:p>
    <w:p>
      <w:pPr>
        <w:spacing w:line="360" w:lineRule="auto"/>
        <w:ind w:firstLine="480" w:firstLineChars="200"/>
        <w:rPr>
          <w:rFonts w:ascii="宋体" w:hAnsi="宋体"/>
          <w:sz w:val="24"/>
        </w:rPr>
      </w:pPr>
      <w:r>
        <w:rPr>
          <w:rFonts w:ascii="宋体" w:hAnsi="宋体"/>
          <w:sz w:val="24"/>
        </w:rPr>
        <w:t>九、本工程安全管理目标。无工伤死亡与重伤事故；年（月）工伤事故频率小于0.9‰;无社会伤害与死亡事故；无交通安全死亡与重大物损事故；工程项目安全生产管理监督核验优良率达到50%以上。</w:t>
      </w:r>
    </w:p>
    <w:p>
      <w:pPr>
        <w:spacing w:line="360" w:lineRule="auto"/>
        <w:ind w:firstLine="480" w:firstLineChars="200"/>
        <w:rPr>
          <w:rFonts w:ascii="宋体" w:hAnsi="宋体"/>
          <w:sz w:val="24"/>
        </w:rPr>
      </w:pPr>
      <w:r>
        <w:rPr>
          <w:rFonts w:ascii="宋体" w:hAnsi="宋体"/>
          <w:sz w:val="24"/>
        </w:rPr>
        <w:t>十、本工程乙方应向甲方缴纳安全抵押金</w:t>
      </w:r>
      <w:r>
        <w:rPr>
          <w:rFonts w:ascii="宋体" w:hAnsi="宋体"/>
          <w:sz w:val="24"/>
          <w:u w:val="single"/>
        </w:rPr>
        <w:t>   </w:t>
      </w:r>
      <w:r>
        <w:rPr>
          <w:rFonts w:ascii="宋体" w:hAnsi="宋体"/>
          <w:sz w:val="24"/>
        </w:rPr>
        <w:t>元。</w:t>
      </w:r>
    </w:p>
    <w:p>
      <w:pPr>
        <w:spacing w:line="360" w:lineRule="auto"/>
        <w:ind w:firstLine="480" w:firstLineChars="200"/>
        <w:rPr>
          <w:rFonts w:ascii="宋体" w:hAnsi="宋体"/>
          <w:sz w:val="24"/>
        </w:rPr>
      </w:pPr>
      <w:r>
        <w:rPr>
          <w:rFonts w:ascii="宋体" w:hAnsi="宋体"/>
          <w:sz w:val="24"/>
        </w:rPr>
        <w:t>十一、乙方在本工程施工中如发生工伤伤亡事故，必须立即向甲方报告。同时应保护现场，抢救伤员，做好善后处理工作，对事故按“三不放过”的原则进行调查处理。甲方负有积极配合抢险、协助调查处理的义务。事故造成的一切经济损失和善后处理责任均由乙方承担。如因乙方责任对甲方造成人员及第三者伤害和经济损失，亦由乙方负责赔偿。</w:t>
      </w:r>
    </w:p>
    <w:p>
      <w:pPr>
        <w:spacing w:line="360" w:lineRule="auto"/>
        <w:ind w:firstLine="480" w:firstLineChars="200"/>
        <w:rPr>
          <w:rFonts w:ascii="宋体" w:hAnsi="宋体"/>
          <w:sz w:val="24"/>
        </w:rPr>
      </w:pPr>
      <w:r>
        <w:rPr>
          <w:rFonts w:ascii="宋体" w:hAnsi="宋体"/>
          <w:sz w:val="24"/>
        </w:rPr>
        <w:t>十二、以上如有未尽事宜，均参照有关的规定执行。</w:t>
      </w:r>
    </w:p>
    <w:p>
      <w:pPr>
        <w:spacing w:line="360" w:lineRule="auto"/>
        <w:ind w:firstLine="480" w:firstLineChars="200"/>
        <w:rPr>
          <w:rFonts w:ascii="宋体" w:hAnsi="宋体"/>
          <w:sz w:val="24"/>
        </w:rPr>
      </w:pPr>
      <w:r>
        <w:rPr>
          <w:rFonts w:ascii="宋体" w:hAnsi="宋体"/>
          <w:sz w:val="24"/>
        </w:rPr>
        <w:t>十三、本协议书作为工程合同的必要附件，由双方签字盖章后生效。</w:t>
      </w:r>
    </w:p>
    <w:p>
      <w:pPr>
        <w:spacing w:line="360" w:lineRule="auto"/>
        <w:ind w:firstLine="480" w:firstLineChars="200"/>
        <w:rPr>
          <w:rFonts w:ascii="宋体" w:hAnsi="宋体"/>
          <w:sz w:val="24"/>
        </w:rPr>
      </w:pPr>
    </w:p>
    <w:p>
      <w:pPr>
        <w:spacing w:line="360" w:lineRule="auto"/>
        <w:rPr>
          <w:rFonts w:ascii="宋体" w:hAnsi="宋体"/>
          <w:sz w:val="24"/>
        </w:rPr>
      </w:pPr>
    </w:p>
    <w:p>
      <w:pPr>
        <w:spacing w:line="360" w:lineRule="auto"/>
        <w:rPr>
          <w:rFonts w:ascii="宋体" w:hAnsi="宋体"/>
          <w:sz w:val="24"/>
        </w:rPr>
      </w:pPr>
      <w:r>
        <w:rPr>
          <w:rFonts w:ascii="宋体" w:hAnsi="宋体"/>
          <w:sz w:val="24"/>
        </w:rPr>
        <w:t>甲方单位（盖章）：                  乙方单位（盖章）：</w:t>
      </w:r>
    </w:p>
    <w:p>
      <w:pPr>
        <w:spacing w:line="360" w:lineRule="auto"/>
        <w:rPr>
          <w:rFonts w:ascii="宋体" w:hAnsi="宋体"/>
          <w:sz w:val="24"/>
        </w:rPr>
      </w:pPr>
      <w:r>
        <w:rPr>
          <w:rFonts w:ascii="宋体" w:hAnsi="宋体"/>
          <w:sz w:val="24"/>
        </w:rPr>
        <w:t>法定代表人（</w:t>
      </w:r>
      <w:r>
        <w:rPr>
          <w:rFonts w:hint="eastAsia" w:ascii="宋体" w:hAnsi="宋体"/>
          <w:sz w:val="24"/>
        </w:rPr>
        <w:t>签字或盖章</w:t>
      </w:r>
      <w:r>
        <w:rPr>
          <w:rFonts w:ascii="宋体" w:hAnsi="宋体"/>
          <w:sz w:val="24"/>
        </w:rPr>
        <w:t>）：              法定代表人（</w:t>
      </w:r>
      <w:r>
        <w:rPr>
          <w:rFonts w:hint="eastAsia" w:ascii="宋体" w:hAnsi="宋体"/>
          <w:sz w:val="24"/>
        </w:rPr>
        <w:t>签字或盖章</w:t>
      </w:r>
      <w:r>
        <w:rPr>
          <w:rFonts w:ascii="宋体" w:hAnsi="宋体"/>
          <w:sz w:val="24"/>
        </w:rPr>
        <w:t>）：</w:t>
      </w:r>
    </w:p>
    <w:p>
      <w:pPr>
        <w:spacing w:line="360" w:lineRule="auto"/>
        <w:rPr>
          <w:rFonts w:ascii="宋体" w:hAnsi="宋体"/>
          <w:sz w:val="24"/>
        </w:rPr>
      </w:pPr>
      <w:r>
        <w:rPr>
          <w:rFonts w:ascii="宋体" w:hAnsi="宋体"/>
          <w:sz w:val="24"/>
        </w:rPr>
        <w:t>年   月   日                 </w:t>
      </w:r>
      <w:r>
        <w:rPr>
          <w:rFonts w:hint="eastAsia" w:ascii="宋体" w:hAnsi="宋体"/>
          <w:sz w:val="24"/>
        </w:rPr>
        <w:t xml:space="preserve">  </w:t>
      </w:r>
      <w:r>
        <w:rPr>
          <w:rFonts w:ascii="宋体" w:hAnsi="宋体"/>
          <w:sz w:val="24"/>
        </w:rPr>
        <w:t>年   月   日</w:t>
      </w:r>
    </w:p>
    <w:p>
      <w:pPr>
        <w:tabs>
          <w:tab w:val="left" w:pos="900"/>
          <w:tab w:val="left" w:pos="1080"/>
        </w:tabs>
        <w:snapToGrid w:val="0"/>
        <w:spacing w:line="360" w:lineRule="auto"/>
        <w:rPr>
          <w:rFonts w:ascii="宋体" w:hAnsi="宋体" w:cs="宋体"/>
          <w:kern w:val="0"/>
          <w:sz w:val="24"/>
        </w:rPr>
      </w:pPr>
    </w:p>
    <w:bookmarkEnd w:id="673"/>
    <w:bookmarkEnd w:id="674"/>
    <w:bookmarkEnd w:id="675"/>
    <w:p>
      <w:pPr>
        <w:widowControl/>
        <w:jc w:val="left"/>
        <w:rPr>
          <w:b/>
          <w:sz w:val="36"/>
          <w:szCs w:val="36"/>
        </w:rPr>
      </w:pPr>
    </w:p>
    <w:p>
      <w:pPr>
        <w:widowControl/>
        <w:jc w:val="left"/>
        <w:rPr>
          <w:b/>
          <w:sz w:val="36"/>
          <w:szCs w:val="36"/>
        </w:rPr>
      </w:pPr>
    </w:p>
    <w:p>
      <w:pPr>
        <w:spacing w:line="360" w:lineRule="auto"/>
        <w:jc w:val="center"/>
        <w:outlineLvl w:val="0"/>
        <w:rPr>
          <w:b/>
          <w:sz w:val="24"/>
        </w:rPr>
      </w:pPr>
      <w:r>
        <w:rPr>
          <w:b/>
          <w:sz w:val="36"/>
          <w:szCs w:val="36"/>
        </w:rPr>
        <w:br w:type="page"/>
      </w:r>
      <w:bookmarkStart w:id="1140" w:name="_Toc99301378"/>
      <w:r>
        <w:rPr>
          <w:b/>
          <w:sz w:val="30"/>
          <w:szCs w:val="30"/>
        </w:rPr>
        <w:t>第六章   响应文件格式</w:t>
      </w:r>
      <w:bookmarkEnd w:id="1140"/>
    </w:p>
    <w:p>
      <w:pPr>
        <w:tabs>
          <w:tab w:val="left" w:pos="900"/>
          <w:tab w:val="left" w:pos="1980"/>
        </w:tabs>
        <w:snapToGrid w:val="0"/>
        <w:spacing w:line="360" w:lineRule="auto"/>
        <w:ind w:left="142"/>
        <w:rPr>
          <w:b/>
          <w:sz w:val="24"/>
        </w:rPr>
      </w:pPr>
      <w:r>
        <w:rPr>
          <w:b/>
          <w:sz w:val="24"/>
        </w:rPr>
        <w:t>供应商编制文件须知</w:t>
      </w:r>
    </w:p>
    <w:p>
      <w:pPr>
        <w:tabs>
          <w:tab w:val="left" w:pos="900"/>
          <w:tab w:val="left" w:pos="1980"/>
        </w:tabs>
        <w:snapToGrid w:val="0"/>
        <w:spacing w:line="360" w:lineRule="auto"/>
        <w:ind w:left="142"/>
        <w:rPr>
          <w:sz w:val="24"/>
        </w:rPr>
      </w:pPr>
      <w:r>
        <w:rPr>
          <w:sz w:val="24"/>
        </w:rPr>
        <w:t>1、供应商按照本部分的顺序编制响应文件，编制中涉及格式资料的，应按照本部分提供的内容和格式（所有表格的格式可扩展）填写提交。</w:t>
      </w:r>
    </w:p>
    <w:p>
      <w:pPr>
        <w:tabs>
          <w:tab w:val="left" w:pos="900"/>
          <w:tab w:val="left" w:pos="1980"/>
        </w:tabs>
        <w:snapToGrid w:val="0"/>
        <w:spacing w:line="360" w:lineRule="auto"/>
        <w:ind w:left="142"/>
        <w:rPr>
          <w:kern w:val="0"/>
          <w:sz w:val="24"/>
        </w:rPr>
      </w:pPr>
      <w:r>
        <w:rPr>
          <w:sz w:val="24"/>
        </w:rPr>
        <w:t>2、</w:t>
      </w:r>
      <w:r>
        <w:rPr>
          <w:kern w:val="0"/>
          <w:sz w:val="24"/>
        </w:rPr>
        <w:t>对于谈判文件中标记了“实质性格式”文件的，</w:t>
      </w:r>
      <w:r>
        <w:rPr>
          <w:sz w:val="24"/>
        </w:rPr>
        <w:t>供应商不得改变格式中给定的文字所表达的含义，不得删减格式中的实质性内容，不得自行添加与格式中给定的文字内容相矛盾的内容，不得对应当填写的空格不填写或不实质性响应，</w:t>
      </w:r>
      <w:r>
        <w:rPr>
          <w:b/>
          <w:kern w:val="0"/>
          <w:sz w:val="24"/>
        </w:rPr>
        <w:t>否则响应无效</w:t>
      </w:r>
      <w:r>
        <w:rPr>
          <w:kern w:val="0"/>
          <w:sz w:val="24"/>
        </w:rPr>
        <w:t>。未标记“实质性格式”的文件和谈判文件未提供格式的内容，可由供应商自行编写。</w:t>
      </w:r>
    </w:p>
    <w:p>
      <w:pPr>
        <w:tabs>
          <w:tab w:val="left" w:pos="900"/>
          <w:tab w:val="left" w:pos="1980"/>
        </w:tabs>
        <w:snapToGrid w:val="0"/>
        <w:spacing w:line="360" w:lineRule="auto"/>
        <w:ind w:left="142"/>
        <w:rPr>
          <w:sz w:val="24"/>
        </w:rPr>
      </w:pPr>
      <w:r>
        <w:rPr>
          <w:sz w:val="24"/>
        </w:rPr>
        <w:t>3、全部声明和问题的回答及所附材料必须是真实的、准确的和完整的。</w:t>
      </w:r>
    </w:p>
    <w:p>
      <w:pPr>
        <w:tabs>
          <w:tab w:val="left" w:pos="900"/>
          <w:tab w:val="left" w:pos="1980"/>
        </w:tabs>
        <w:snapToGrid w:val="0"/>
        <w:spacing w:line="360" w:lineRule="auto"/>
        <w:ind w:left="142"/>
        <w:rPr>
          <w:sz w:val="24"/>
        </w:rPr>
      </w:pPr>
      <w:r>
        <w:rPr>
          <w:rFonts w:hint="eastAsia"/>
          <w:sz w:val="24"/>
        </w:rPr>
        <w:t>4、实行电子化不见面交易方式的，加盖公章、签名等均通过</w:t>
      </w:r>
      <w:r>
        <w:rPr>
          <w:sz w:val="24"/>
        </w:rPr>
        <w:t>响应文件编制工具</w:t>
      </w:r>
      <w:r>
        <w:rPr>
          <w:rFonts w:hint="eastAsia"/>
          <w:sz w:val="24"/>
        </w:rPr>
        <w:t>加盖电子公章、</w:t>
      </w:r>
      <w:r>
        <w:rPr>
          <w:rFonts w:ascii="宋体" w:hAnsi="宋体"/>
          <w:color w:val="000000"/>
          <w:sz w:val="24"/>
          <w:szCs w:val="20"/>
        </w:rPr>
        <w:t>签字</w:t>
      </w:r>
      <w:r>
        <w:rPr>
          <w:rFonts w:hint="eastAsia" w:ascii="宋体" w:hAnsi="宋体"/>
          <w:color w:val="000000"/>
          <w:sz w:val="24"/>
          <w:szCs w:val="20"/>
        </w:rPr>
        <w:t>、签章</w:t>
      </w:r>
      <w:r>
        <w:rPr>
          <w:rFonts w:ascii="宋体" w:hAnsi="宋体"/>
          <w:color w:val="000000"/>
          <w:sz w:val="24"/>
          <w:szCs w:val="20"/>
        </w:rPr>
        <w:t>或</w:t>
      </w:r>
      <w:r>
        <w:rPr>
          <w:rFonts w:hint="eastAsia" w:ascii="宋体" w:hAnsi="宋体"/>
          <w:color w:val="000000"/>
          <w:sz w:val="24"/>
          <w:szCs w:val="20"/>
        </w:rPr>
        <w:t>印鉴</w:t>
      </w:r>
      <w:r>
        <w:rPr>
          <w:rFonts w:hint="eastAsia"/>
          <w:sz w:val="24"/>
        </w:rPr>
        <w:t>。</w:t>
      </w:r>
    </w:p>
    <w:p>
      <w:pPr>
        <w:tabs>
          <w:tab w:val="left" w:pos="900"/>
          <w:tab w:val="left" w:pos="1980"/>
        </w:tabs>
        <w:snapToGrid w:val="0"/>
        <w:spacing w:line="360" w:lineRule="auto"/>
        <w:ind w:left="142"/>
        <w:rPr>
          <w:sz w:val="24"/>
        </w:rPr>
      </w:pPr>
    </w:p>
    <w:p>
      <w:pPr>
        <w:rPr>
          <w:b/>
          <w:sz w:val="24"/>
        </w:rPr>
      </w:pPr>
      <w:r>
        <w:rPr>
          <w:sz w:val="24"/>
        </w:rPr>
        <w:br w:type="page"/>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Pr>
          <w:b/>
          <w:spacing w:val="20"/>
          <w:sz w:val="24"/>
        </w:rPr>
        <w:t>响应文件</w:t>
      </w:r>
      <w:r>
        <w:rPr>
          <w:b/>
          <w:sz w:val="24"/>
        </w:rPr>
        <w:t>封面（非实质性格式）</w:t>
      </w:r>
    </w:p>
    <w:p>
      <w:pPr>
        <w:jc w:val="center"/>
        <w:rPr>
          <w:szCs w:val="21"/>
        </w:rPr>
      </w:pPr>
    </w:p>
    <w:p>
      <w:pPr>
        <w:jc w:val="center"/>
        <w:rPr>
          <w:b/>
          <w:spacing w:val="60"/>
          <w:sz w:val="84"/>
          <w:szCs w:val="84"/>
        </w:rPr>
      </w:pPr>
    </w:p>
    <w:p>
      <w:pPr>
        <w:jc w:val="center"/>
        <w:rPr>
          <w:b/>
          <w:spacing w:val="60"/>
          <w:sz w:val="84"/>
          <w:szCs w:val="84"/>
        </w:rPr>
      </w:pPr>
    </w:p>
    <w:p>
      <w:pPr>
        <w:jc w:val="center"/>
        <w:rPr>
          <w:b/>
          <w:spacing w:val="60"/>
          <w:sz w:val="84"/>
          <w:szCs w:val="84"/>
        </w:rPr>
      </w:pPr>
    </w:p>
    <w:p>
      <w:pPr>
        <w:jc w:val="center"/>
        <w:rPr>
          <w:b/>
          <w:spacing w:val="60"/>
          <w:sz w:val="84"/>
          <w:szCs w:val="84"/>
        </w:rPr>
      </w:pPr>
      <w:r>
        <w:rPr>
          <w:b/>
          <w:spacing w:val="60"/>
          <w:sz w:val="84"/>
          <w:szCs w:val="84"/>
        </w:rPr>
        <w:t>响 应 文 件</w:t>
      </w:r>
    </w:p>
    <w:p>
      <w:pPr>
        <w:ind w:firstLine="963" w:firstLineChars="150"/>
        <w:rPr>
          <w:b/>
          <w:spacing w:val="60"/>
          <w:sz w:val="52"/>
          <w:szCs w:val="52"/>
        </w:rPr>
      </w:pPr>
    </w:p>
    <w:p>
      <w:pPr>
        <w:ind w:firstLine="542" w:firstLineChars="150"/>
        <w:rPr>
          <w:b/>
          <w:spacing w:val="20"/>
          <w:sz w:val="32"/>
          <w:szCs w:val="32"/>
        </w:rPr>
      </w:pPr>
    </w:p>
    <w:p>
      <w:pPr>
        <w:ind w:firstLine="542" w:firstLineChars="150"/>
        <w:rPr>
          <w:b/>
          <w:spacing w:val="20"/>
          <w:sz w:val="32"/>
          <w:szCs w:val="32"/>
        </w:rPr>
      </w:pPr>
    </w:p>
    <w:p>
      <w:pPr>
        <w:ind w:firstLine="1084" w:firstLineChars="300"/>
        <w:rPr>
          <w:rFonts w:ascii="宋体" w:hAnsi="宋体"/>
          <w:b/>
          <w:sz w:val="36"/>
        </w:rPr>
      </w:pPr>
      <w:r>
        <w:rPr>
          <w:rFonts w:hint="eastAsia" w:ascii="宋体" w:hAnsi="宋体"/>
          <w:b/>
          <w:sz w:val="36"/>
        </w:rPr>
        <w:t>项 目 名 称：</w:t>
      </w:r>
      <w:r>
        <w:rPr>
          <w:rFonts w:hint="eastAsia" w:ascii="宋体" w:hAnsi="宋体"/>
          <w:b/>
          <w:sz w:val="36"/>
          <w:u w:val="single"/>
        </w:rPr>
        <w:t xml:space="preserve">               </w:t>
      </w:r>
    </w:p>
    <w:p>
      <w:pPr>
        <w:ind w:firstLine="1084" w:firstLineChars="300"/>
        <w:rPr>
          <w:rFonts w:ascii="宋体" w:hAnsi="宋体"/>
          <w:b/>
          <w:sz w:val="36"/>
          <w:u w:val="single"/>
        </w:rPr>
      </w:pPr>
      <w:r>
        <w:rPr>
          <w:rFonts w:hint="eastAsia" w:ascii="宋体" w:hAnsi="宋体"/>
          <w:b/>
          <w:sz w:val="36"/>
        </w:rPr>
        <w:t>项 目 编 号：</w:t>
      </w:r>
      <w:r>
        <w:rPr>
          <w:rFonts w:hint="eastAsia" w:ascii="宋体" w:hAnsi="宋体"/>
          <w:b/>
          <w:sz w:val="36"/>
          <w:u w:val="single"/>
        </w:rPr>
        <w:t xml:space="preserve">               </w:t>
      </w:r>
    </w:p>
    <w:p>
      <w:pPr>
        <w:rPr>
          <w:rFonts w:ascii="宋体" w:hAnsi="宋体"/>
          <w:b/>
          <w:sz w:val="36"/>
          <w:u w:val="single"/>
        </w:rPr>
      </w:pPr>
      <w:r>
        <w:rPr>
          <w:rFonts w:hint="eastAsia" w:ascii="宋体" w:hAnsi="宋体"/>
          <w:b/>
          <w:sz w:val="36"/>
        </w:rPr>
        <w:t xml:space="preserve">      供应商名称 ：</w:t>
      </w:r>
      <w:r>
        <w:rPr>
          <w:rFonts w:hint="eastAsia" w:ascii="宋体" w:hAnsi="宋体"/>
          <w:b/>
          <w:sz w:val="36"/>
          <w:u w:val="single"/>
        </w:rPr>
        <w:t xml:space="preserve">               </w:t>
      </w:r>
    </w:p>
    <w:p>
      <w:pPr>
        <w:rPr>
          <w:rFonts w:ascii="宋体" w:hAnsi="宋体"/>
          <w:b/>
          <w:sz w:val="36"/>
        </w:rPr>
      </w:pPr>
      <w:r>
        <w:rPr>
          <w:rFonts w:hint="eastAsia" w:ascii="宋体" w:hAnsi="宋体"/>
          <w:b/>
          <w:sz w:val="36"/>
        </w:rPr>
        <w:t xml:space="preserve">      日      期 ：</w:t>
      </w:r>
      <w:r>
        <w:rPr>
          <w:rFonts w:hint="eastAsia" w:ascii="宋体" w:hAnsi="宋体"/>
          <w:b/>
          <w:sz w:val="36"/>
          <w:u w:val="single"/>
        </w:rPr>
        <w:t xml:space="preserve">               </w:t>
      </w:r>
    </w:p>
    <w:p>
      <w:pPr>
        <w:jc w:val="center"/>
        <w:rPr>
          <w:b/>
          <w:sz w:val="32"/>
          <w:szCs w:val="32"/>
        </w:rPr>
      </w:pPr>
    </w:p>
    <w:p>
      <w:pPr>
        <w:rPr>
          <w:b/>
        </w:rPr>
      </w:pPr>
      <w:r>
        <w:rPr>
          <w:b/>
          <w:spacing w:val="20"/>
          <w:sz w:val="32"/>
          <w:szCs w:val="32"/>
        </w:rPr>
        <w:br w:type="page"/>
      </w:r>
    </w:p>
    <w:p>
      <w:pPr>
        <w:spacing w:line="360" w:lineRule="auto"/>
        <w:outlineLvl w:val="2"/>
        <w:rPr>
          <w:color w:val="000000"/>
          <w:sz w:val="24"/>
          <w:szCs w:val="20"/>
        </w:rPr>
      </w:pPr>
      <w:r>
        <w:rPr>
          <w:color w:val="000000"/>
          <w:sz w:val="24"/>
          <w:szCs w:val="20"/>
        </w:rPr>
        <w:t xml:space="preserve">1 </w:t>
      </w:r>
      <w:r>
        <w:rPr>
          <w:sz w:val="24"/>
        </w:rPr>
        <w:t>满足《中华人民共和国政府采购法》第二十二条规定及法律法规的其他规定</w:t>
      </w:r>
    </w:p>
    <w:p>
      <w:pPr>
        <w:pStyle w:val="2"/>
        <w:rPr>
          <w:rFonts w:ascii="Times New Roman"/>
          <w:b w:val="0"/>
          <w:bCs/>
          <w:color w:val="000000"/>
          <w:u w:val="none"/>
        </w:rPr>
      </w:pPr>
      <w:r>
        <w:rPr>
          <w:rFonts w:ascii="Times New Roman"/>
          <w:b w:val="0"/>
          <w:color w:val="000000"/>
          <w:u w:val="none"/>
        </w:rPr>
        <w:t>1-</w:t>
      </w:r>
      <w:r>
        <w:rPr>
          <w:rFonts w:hint="eastAsia" w:ascii="Times New Roman"/>
          <w:b w:val="0"/>
          <w:color w:val="000000"/>
          <w:u w:val="none"/>
        </w:rPr>
        <w:t>1</w:t>
      </w:r>
      <w:r>
        <w:rPr>
          <w:rFonts w:ascii="Times New Roman"/>
          <w:b w:val="0"/>
          <w:color w:val="000000"/>
          <w:u w:val="none"/>
        </w:rPr>
        <w:t xml:space="preserve"> 供应商资格声明</w:t>
      </w:r>
      <w:r>
        <w:rPr>
          <w:rFonts w:hint="eastAsia" w:ascii="Times New Roman"/>
          <w:b w:val="0"/>
          <w:color w:val="000000"/>
          <w:u w:val="none"/>
        </w:rPr>
        <w:t>函</w:t>
      </w:r>
      <w:r>
        <w:rPr>
          <w:rFonts w:ascii="Times New Roman"/>
          <w:b w:val="0"/>
          <w:color w:val="000000"/>
          <w:u w:val="none"/>
        </w:rPr>
        <w:t>（实质性格式）</w:t>
      </w:r>
    </w:p>
    <w:p>
      <w:pPr>
        <w:widowControl/>
        <w:adjustRightInd w:val="0"/>
        <w:snapToGrid w:val="0"/>
        <w:spacing w:beforeLines="50" w:line="360" w:lineRule="auto"/>
        <w:jc w:val="center"/>
        <w:rPr>
          <w:rFonts w:ascii="宋体" w:hAnsi="宋体" w:cs="宋体"/>
          <w:b/>
          <w:sz w:val="28"/>
          <w:szCs w:val="28"/>
        </w:rPr>
      </w:pPr>
    </w:p>
    <w:p>
      <w:pPr>
        <w:widowControl/>
        <w:adjustRightInd w:val="0"/>
        <w:snapToGrid w:val="0"/>
        <w:spacing w:beforeLines="50" w:line="360" w:lineRule="auto"/>
        <w:jc w:val="center"/>
        <w:rPr>
          <w:rFonts w:ascii="宋体" w:hAnsi="宋体" w:cs="宋体"/>
          <w:szCs w:val="21"/>
        </w:rPr>
      </w:pPr>
      <w:r>
        <w:rPr>
          <w:rFonts w:hint="eastAsia" w:ascii="宋体" w:hAnsi="宋体" w:cs="宋体"/>
          <w:b/>
          <w:sz w:val="28"/>
          <w:szCs w:val="28"/>
        </w:rPr>
        <w:t>供应商资格声明函</w:t>
      </w:r>
    </w:p>
    <w:p>
      <w:pPr>
        <w:pStyle w:val="13"/>
        <w:spacing w:line="460" w:lineRule="exact"/>
        <w:ind w:firstLine="480"/>
      </w:pPr>
    </w:p>
    <w:p>
      <w:pPr>
        <w:pStyle w:val="13"/>
        <w:spacing w:line="460" w:lineRule="exact"/>
        <w:ind w:firstLine="480"/>
        <w:rPr>
          <w:u w:val="single"/>
        </w:rPr>
      </w:pPr>
      <w:r>
        <w:rPr>
          <w:rFonts w:hint="eastAsia"/>
        </w:rPr>
        <w:t>致：</w:t>
      </w:r>
      <w:r>
        <w:rPr>
          <w:rFonts w:hint="eastAsia"/>
          <w:u w:val="single"/>
        </w:rPr>
        <w:t>（采购人名称）</w:t>
      </w:r>
    </w:p>
    <w:p>
      <w:pPr>
        <w:pStyle w:val="13"/>
        <w:spacing w:line="460" w:lineRule="exact"/>
        <w:ind w:firstLine="480"/>
      </w:pPr>
    </w:p>
    <w:p>
      <w:pPr>
        <w:pStyle w:val="13"/>
        <w:spacing w:line="460" w:lineRule="exact"/>
        <w:ind w:firstLine="480"/>
      </w:pPr>
      <w:r>
        <w:rPr>
          <w:rFonts w:hint="eastAsia"/>
        </w:rPr>
        <w:t>按照《中华人民共和国政府采购法》第二十二条和谈判文件的规定，我单位郑重声明如下：</w:t>
      </w:r>
    </w:p>
    <w:p>
      <w:pPr>
        <w:pStyle w:val="13"/>
        <w:spacing w:line="460" w:lineRule="exact"/>
        <w:ind w:firstLine="480"/>
      </w:pPr>
      <w:r>
        <w:rPr>
          <w:rFonts w:hint="eastAsia"/>
        </w:rPr>
        <w:t>一、我单位是按照中华人民共和国法律规定登记注册的，注册地点为</w:t>
      </w:r>
      <w:r>
        <w:rPr>
          <w:rFonts w:hint="eastAsia"/>
          <w:u w:val="single"/>
        </w:rPr>
        <w:t xml:space="preserve">         </w:t>
      </w:r>
      <w:r>
        <w:rPr>
          <w:rFonts w:hint="eastAsia"/>
        </w:rPr>
        <w:t>，全称为</w:t>
      </w:r>
      <w:r>
        <w:rPr>
          <w:rFonts w:hint="eastAsia"/>
          <w:u w:val="single"/>
        </w:rPr>
        <w:t xml:space="preserve">        </w:t>
      </w:r>
      <w:r>
        <w:rPr>
          <w:rFonts w:hint="eastAsia"/>
        </w:rPr>
        <w:t>，统一社会信用代码为</w:t>
      </w:r>
      <w:r>
        <w:rPr>
          <w:rFonts w:hint="eastAsia"/>
          <w:u w:val="single"/>
        </w:rPr>
        <w:t xml:space="preserve">           </w:t>
      </w:r>
      <w:r>
        <w:rPr>
          <w:rFonts w:hint="eastAsia"/>
        </w:rPr>
        <w:t xml:space="preserve"> ，法定代表人（单位负责人）为</w:t>
      </w:r>
      <w:r>
        <w:rPr>
          <w:rFonts w:hint="eastAsia"/>
          <w:u w:val="single"/>
        </w:rPr>
        <w:t xml:space="preserve">         </w:t>
      </w:r>
      <w:r>
        <w:rPr>
          <w:rFonts w:hint="eastAsia"/>
        </w:rPr>
        <w:t>，具有独立承担民事责任的能力</w:t>
      </w:r>
      <w:r>
        <w:rPr>
          <w:rFonts w:hint="eastAsia"/>
          <w:b/>
        </w:rPr>
        <w:t>（如属于分公司经总公司授权参与项目，由总公司承担民事责任的，需提供总公司项目授权书）</w:t>
      </w:r>
      <w:r>
        <w:rPr>
          <w:rFonts w:hint="eastAsia"/>
        </w:rPr>
        <w:t>。</w:t>
      </w:r>
    </w:p>
    <w:p>
      <w:pPr>
        <w:pStyle w:val="13"/>
        <w:spacing w:line="460" w:lineRule="exact"/>
        <w:ind w:firstLine="480"/>
      </w:pPr>
      <w:r>
        <w:rPr>
          <w:rFonts w:hint="eastAsia"/>
        </w:rPr>
        <w:t>二、我单位未被“国家企业信用信息系统”列入经营异常名录或者严重违法企业名单。</w:t>
      </w:r>
    </w:p>
    <w:p>
      <w:pPr>
        <w:pStyle w:val="13"/>
        <w:spacing w:line="460" w:lineRule="exact"/>
        <w:ind w:firstLine="480"/>
      </w:pPr>
      <w:r>
        <w:rPr>
          <w:rFonts w:hint="eastAsia"/>
        </w:rPr>
        <w:t>三、我单位具有良好的商业信誉（指供应商经营状况良好，无本资格声明第十条情形）和健全的财务会计制度。</w:t>
      </w:r>
    </w:p>
    <w:p>
      <w:pPr>
        <w:pStyle w:val="13"/>
        <w:spacing w:line="460" w:lineRule="exact"/>
        <w:ind w:firstLine="480"/>
      </w:pPr>
      <w:r>
        <w:rPr>
          <w:rFonts w:hint="eastAsia"/>
        </w:rPr>
        <w:t>四、我单位依法进行纳税和社会保险申报并实际履行了义务。</w:t>
      </w:r>
    </w:p>
    <w:p>
      <w:pPr>
        <w:pStyle w:val="13"/>
        <w:spacing w:line="460" w:lineRule="exact"/>
        <w:ind w:firstLine="480"/>
      </w:pPr>
      <w:r>
        <w:rPr>
          <w:rFonts w:hint="eastAsia"/>
        </w:rPr>
        <w:t>五、我单位具有履行本项目采购合同所必需的设备和专业技术能力，并具有履行合同的良好</w:t>
      </w:r>
      <w:r>
        <w:t>记录</w:t>
      </w:r>
      <w:r>
        <w:rPr>
          <w:rFonts w:hint="eastAsia"/>
        </w:rPr>
        <w:t>。为履行本项采购合同我单位具备如下主要设备和主要专业技术能力:</w:t>
      </w:r>
    </w:p>
    <w:p>
      <w:pPr>
        <w:pStyle w:val="13"/>
        <w:spacing w:line="460" w:lineRule="exact"/>
        <w:ind w:firstLine="480"/>
      </w:pPr>
      <w:r>
        <w:rPr>
          <w:rFonts w:hint="eastAsia"/>
        </w:rPr>
        <w:t>主要设备有：</w:t>
      </w:r>
      <w:r>
        <w:rPr>
          <w:u w:val="single"/>
        </w:rPr>
        <w:t xml:space="preserve">            </w:t>
      </w:r>
    </w:p>
    <w:p>
      <w:pPr>
        <w:pStyle w:val="13"/>
        <w:spacing w:line="460" w:lineRule="exact"/>
        <w:ind w:firstLine="480"/>
      </w:pPr>
      <w:r>
        <w:rPr>
          <w:rFonts w:hint="eastAsia"/>
        </w:rPr>
        <w:t>主要专业技术能力有</w:t>
      </w:r>
      <w:r>
        <w:rPr>
          <w:rFonts w:hint="eastAsia"/>
          <w:u w:val="single"/>
        </w:rPr>
        <w:t xml:space="preserve">                 </w:t>
      </w:r>
    </w:p>
    <w:p>
      <w:pPr>
        <w:pStyle w:val="13"/>
        <w:spacing w:line="460" w:lineRule="exact"/>
        <w:ind w:firstLine="480"/>
      </w:pPr>
      <w:r>
        <w:rPr>
          <w:rFonts w:hint="eastAsia"/>
        </w:rPr>
        <w:t>六、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标准的；法律、法规、规章、国务院有关行政主管部门对“较大数额罚款”标准另有规定的，从其规定。（供应商如在参加政府采购活动前3年内因违法经营被禁止在一定期限内参加政府采购活动，期限届满的，可以参加政府采购活动。）</w:t>
      </w:r>
    </w:p>
    <w:p>
      <w:pPr>
        <w:pStyle w:val="13"/>
        <w:spacing w:line="460" w:lineRule="exact"/>
        <w:ind w:firstLine="480"/>
      </w:pPr>
      <w:r>
        <w:rPr>
          <w:rFonts w:hint="eastAsia"/>
        </w:rPr>
        <w:t>七、我单位具备法律、行政法规规定的其他条件。</w:t>
      </w:r>
    </w:p>
    <w:p>
      <w:pPr>
        <w:pStyle w:val="13"/>
        <w:spacing w:line="460" w:lineRule="exact"/>
        <w:ind w:firstLine="480"/>
      </w:pPr>
      <w:r>
        <w:rPr>
          <w:rFonts w:hint="eastAsia"/>
        </w:rPr>
        <w:t>八、与我单位存在“单位负责人为同一人或者存在直接控股、管理关系”的其他单位信息如下（如无此情形的，填写“无”）：</w:t>
      </w:r>
    </w:p>
    <w:p>
      <w:pPr>
        <w:pStyle w:val="13"/>
        <w:spacing w:line="460" w:lineRule="exact"/>
        <w:ind w:firstLine="480"/>
      </w:pPr>
      <w:r>
        <w:rPr>
          <w:rFonts w:hint="eastAsia"/>
        </w:rPr>
        <w:t>1、与我单位的法定代表人（单位负责人）为同一人的其他单位如下：</w:t>
      </w:r>
      <w:r>
        <w:rPr>
          <w:rFonts w:hint="eastAsia"/>
          <w:u w:val="single"/>
        </w:rPr>
        <w:t xml:space="preserve">     </w:t>
      </w:r>
      <w:r>
        <w:rPr>
          <w:rFonts w:hint="eastAsia"/>
        </w:rPr>
        <w:t xml:space="preserve">          </w:t>
      </w:r>
    </w:p>
    <w:p>
      <w:pPr>
        <w:pStyle w:val="13"/>
        <w:spacing w:line="460" w:lineRule="exact"/>
        <w:ind w:firstLine="480"/>
      </w:pPr>
      <w:r>
        <w:rPr>
          <w:rFonts w:hint="eastAsia"/>
        </w:rPr>
        <w:t>2、我单位直接控股的其他单位如下：</w:t>
      </w:r>
      <w:r>
        <w:rPr>
          <w:rFonts w:hint="eastAsia"/>
          <w:u w:val="single"/>
        </w:rPr>
        <w:t xml:space="preserve">                    </w:t>
      </w:r>
      <w:r>
        <w:rPr>
          <w:rFonts w:hint="eastAsia"/>
        </w:rPr>
        <w:t xml:space="preserve"> </w:t>
      </w:r>
    </w:p>
    <w:p>
      <w:pPr>
        <w:pStyle w:val="13"/>
        <w:spacing w:line="460" w:lineRule="exact"/>
        <w:ind w:firstLine="480"/>
      </w:pPr>
      <w:r>
        <w:rPr>
          <w:rFonts w:hint="eastAsia"/>
        </w:rPr>
        <w:t>3、与我单位存在管理关系的其他单位如下：</w:t>
      </w:r>
      <w:r>
        <w:rPr>
          <w:rFonts w:hint="eastAsia"/>
          <w:u w:val="single"/>
        </w:rPr>
        <w:t xml:space="preserve">              </w:t>
      </w:r>
      <w:r>
        <w:rPr>
          <w:rFonts w:hint="eastAsia"/>
        </w:rPr>
        <w:t xml:space="preserve"> </w:t>
      </w:r>
    </w:p>
    <w:p>
      <w:pPr>
        <w:pStyle w:val="13"/>
        <w:spacing w:line="460" w:lineRule="exact"/>
        <w:ind w:firstLine="480"/>
      </w:pPr>
      <w:r>
        <w:rPr>
          <w:rFonts w:hint="eastAsia"/>
        </w:rPr>
        <w:t>九、</w:t>
      </w:r>
      <w:r>
        <w:t>我</w:t>
      </w:r>
      <w:r>
        <w:rPr>
          <w:rFonts w:hint="eastAsia"/>
        </w:rPr>
        <w:t>单位</w:t>
      </w:r>
      <w:r>
        <w:t>不属于为本项目提供整体设计、规范编制或者项目管理、监理、检测等服务的供应商。</w:t>
      </w:r>
    </w:p>
    <w:p>
      <w:pPr>
        <w:pStyle w:val="13"/>
        <w:spacing w:line="460" w:lineRule="exact"/>
        <w:ind w:firstLine="480"/>
      </w:pPr>
      <w:r>
        <w:rPr>
          <w:rFonts w:hint="eastAsia"/>
        </w:rPr>
        <w:t>十、</w:t>
      </w:r>
      <w:r>
        <w:t>我单位无以下不良信用记录情形：</w:t>
      </w:r>
    </w:p>
    <w:p>
      <w:pPr>
        <w:pStyle w:val="13"/>
        <w:spacing w:line="460" w:lineRule="exact"/>
        <w:ind w:firstLine="480"/>
      </w:pPr>
      <w:r>
        <w:t>1</w:t>
      </w:r>
      <w:r>
        <w:rPr>
          <w:rFonts w:hint="eastAsia"/>
        </w:rPr>
        <w:t>、在“信用中国”网站被列入失信被执行人和重大税收违法案件当事人名单；</w:t>
      </w:r>
    </w:p>
    <w:p>
      <w:pPr>
        <w:pStyle w:val="13"/>
        <w:spacing w:line="460" w:lineRule="exact"/>
        <w:ind w:firstLine="480"/>
      </w:pPr>
      <w:r>
        <w:t>2</w:t>
      </w:r>
      <w:r>
        <w:rPr>
          <w:rFonts w:hint="eastAsia"/>
        </w:rPr>
        <w:t>、在“中国政府采购网”网站被列入政府采购严重违法失信行为记录名单；</w:t>
      </w:r>
    </w:p>
    <w:p>
      <w:pPr>
        <w:pStyle w:val="13"/>
        <w:spacing w:line="460" w:lineRule="exact"/>
        <w:ind w:firstLine="480"/>
      </w:pPr>
      <w:r>
        <w:t>3</w:t>
      </w:r>
      <w:r>
        <w:rPr>
          <w:rFonts w:hint="eastAsia"/>
        </w:rPr>
        <w:t>、</w:t>
      </w:r>
      <w:r>
        <w:t>不符合《政府采购法》第二十二条规定的条件。</w:t>
      </w:r>
    </w:p>
    <w:p>
      <w:pPr>
        <w:pStyle w:val="13"/>
        <w:spacing w:line="460" w:lineRule="exact"/>
        <w:ind w:firstLine="480"/>
      </w:pPr>
    </w:p>
    <w:p>
      <w:pPr>
        <w:pStyle w:val="13"/>
        <w:spacing w:line="460" w:lineRule="exact"/>
        <w:ind w:firstLine="480"/>
      </w:pPr>
      <w:r>
        <w:rPr>
          <w:rFonts w:hint="eastAsia"/>
        </w:rPr>
        <w:t>我单位保证上述声明的事项都是真实的，如有虚假，我单位愿意承担相应的法律责任，并承担因此所造成的一切损失。</w:t>
      </w:r>
    </w:p>
    <w:p>
      <w:pPr>
        <w:pStyle w:val="13"/>
        <w:spacing w:line="460" w:lineRule="exact"/>
        <w:ind w:firstLine="480"/>
      </w:pPr>
    </w:p>
    <w:p>
      <w:pPr>
        <w:pStyle w:val="13"/>
        <w:spacing w:line="460" w:lineRule="exact"/>
        <w:ind w:firstLine="480"/>
      </w:pPr>
    </w:p>
    <w:p>
      <w:pPr>
        <w:pStyle w:val="13"/>
        <w:spacing w:line="460" w:lineRule="exact"/>
        <w:ind w:firstLine="480"/>
      </w:pPr>
      <w:r>
        <w:rPr>
          <w:rFonts w:hint="eastAsia"/>
        </w:rPr>
        <w:t>                                            供应商：（加盖公章）</w:t>
      </w:r>
    </w:p>
    <w:p>
      <w:pPr>
        <w:pStyle w:val="13"/>
        <w:spacing w:line="460" w:lineRule="exact"/>
        <w:ind w:firstLine="480"/>
      </w:pPr>
      <w:r>
        <w:rPr>
          <w:rFonts w:hint="eastAsia"/>
        </w:rPr>
        <w:t>                                           法定代表人（或单位负责人）签字或盖章：</w:t>
      </w:r>
    </w:p>
    <w:p>
      <w:pPr>
        <w:pStyle w:val="13"/>
        <w:spacing w:line="460" w:lineRule="exact"/>
        <w:ind w:firstLine="4920" w:firstLineChars="2050"/>
      </w:pPr>
      <w:r>
        <w:rPr>
          <w:rFonts w:hint="eastAsia"/>
        </w:rPr>
        <w:t>日期：    年    月    日</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sz w:val="24"/>
        </w:rPr>
        <w:t>说明：</w:t>
      </w:r>
      <w:r>
        <w:rPr>
          <w:rFonts w:hint="eastAsia"/>
          <w:sz w:val="24"/>
        </w:rPr>
        <w:t>供应商承诺不实的，依据《政府采购法》第七十七条“提供虚假材料谋取中标、成交的”有关规定予以处理</w:t>
      </w:r>
      <w:r>
        <w:rPr>
          <w:sz w:val="24"/>
        </w:rPr>
        <w:t>。</w:t>
      </w:r>
    </w:p>
    <w:p>
      <w:pPr>
        <w:tabs>
          <w:tab w:val="left" w:pos="5580"/>
        </w:tabs>
        <w:spacing w:line="360" w:lineRule="auto"/>
        <w:rPr>
          <w:sz w:val="24"/>
        </w:rPr>
        <w:sectPr>
          <w:pgSz w:w="11907" w:h="16840"/>
          <w:pgMar w:top="1418" w:right="1134" w:bottom="1418" w:left="1701" w:header="851" w:footer="851" w:gutter="0"/>
          <w:cols w:space="720" w:num="1"/>
          <w:docGrid w:linePitch="462" w:charSpace="0"/>
        </w:sectPr>
      </w:pPr>
    </w:p>
    <w:p>
      <w:pPr>
        <w:spacing w:line="360" w:lineRule="auto"/>
        <w:outlineLvl w:val="2"/>
        <w:rPr>
          <w:color w:val="000000"/>
          <w:sz w:val="24"/>
          <w:szCs w:val="20"/>
        </w:rPr>
      </w:pPr>
      <w:r>
        <w:rPr>
          <w:rFonts w:hint="eastAsia"/>
          <w:color w:val="000000"/>
          <w:sz w:val="24"/>
          <w:szCs w:val="20"/>
        </w:rPr>
        <w:t>3</w:t>
      </w:r>
      <w:r>
        <w:rPr>
          <w:color w:val="000000"/>
          <w:sz w:val="24"/>
          <w:szCs w:val="20"/>
        </w:rPr>
        <w:t xml:space="preserve"> </w:t>
      </w:r>
      <w:r>
        <w:rPr>
          <w:sz w:val="24"/>
        </w:rPr>
        <w:t>本项目的特定资格要求</w:t>
      </w:r>
      <w:r>
        <w:rPr>
          <w:color w:val="000000"/>
          <w:sz w:val="24"/>
          <w:szCs w:val="20"/>
        </w:rPr>
        <w:t>（</w:t>
      </w:r>
      <w:r>
        <w:rPr>
          <w:rFonts w:hint="eastAsia"/>
          <w:color w:val="000000"/>
          <w:sz w:val="24"/>
          <w:szCs w:val="20"/>
        </w:rPr>
        <w:t>具体详见“供应商须知资料表”资格审查</w:t>
      </w:r>
      <w:r>
        <w:rPr>
          <w:color w:val="000000"/>
          <w:sz w:val="24"/>
          <w:szCs w:val="20"/>
        </w:rPr>
        <w:t>）</w:t>
      </w:r>
    </w:p>
    <w:p>
      <w:pPr>
        <w:widowControl/>
        <w:jc w:val="left"/>
        <w:rPr>
          <w:sz w:val="24"/>
        </w:rPr>
      </w:pPr>
      <w:r>
        <w:rPr>
          <w:b/>
          <w:sz w:val="24"/>
        </w:rPr>
        <w:br w:type="page"/>
      </w:r>
      <w:bookmarkStart w:id="1141" w:name="_Toc265228395"/>
      <w:bookmarkStart w:id="1142" w:name="_Toc305158899"/>
      <w:bookmarkStart w:id="1143" w:name="_Toc127151557"/>
      <w:bookmarkStart w:id="1144" w:name="_Toc195842922"/>
      <w:bookmarkStart w:id="1145" w:name="_Toc305158825"/>
      <w:bookmarkStart w:id="1146" w:name="_Toc520356218"/>
      <w:bookmarkStart w:id="1147" w:name="_Toc264969247"/>
      <w:bookmarkStart w:id="1148" w:name="_Toc226309801"/>
      <w:bookmarkStart w:id="1149" w:name="_Toc480942350"/>
      <w:bookmarkStart w:id="1150" w:name="_Toc226965747"/>
      <w:bookmarkStart w:id="1151" w:name="_Toc226337253"/>
      <w:bookmarkStart w:id="1152" w:name="_Toc150774762"/>
      <w:bookmarkStart w:id="1153" w:name="_Toc142311059"/>
      <w:bookmarkStart w:id="1154" w:name="_Toc226965830"/>
      <w:bookmarkStart w:id="1155" w:name="_Toc150480795"/>
      <w:bookmarkStart w:id="1156" w:name="_Ref467988705"/>
      <w:r>
        <w:rPr>
          <w:rFonts w:hint="eastAsia"/>
          <w:color w:val="000000"/>
          <w:sz w:val="24"/>
        </w:rPr>
        <w:t>4</w:t>
      </w:r>
      <w:r>
        <w:rPr>
          <w:color w:val="000000"/>
          <w:sz w:val="24"/>
          <w:szCs w:val="20"/>
        </w:rPr>
        <w:t xml:space="preserve">  </w:t>
      </w:r>
      <w:r>
        <w:rPr>
          <w:color w:val="000000"/>
          <w:sz w:val="24"/>
        </w:rPr>
        <w:t>响应</w:t>
      </w:r>
      <w:r>
        <w:rPr>
          <w:rFonts w:hint="eastAsia"/>
          <w:color w:val="000000"/>
          <w:sz w:val="24"/>
        </w:rPr>
        <w:t>函</w:t>
      </w:r>
      <w:r>
        <w:rPr>
          <w:color w:val="000000"/>
          <w:sz w:val="24"/>
          <w:szCs w:val="20"/>
        </w:rPr>
        <w:t>（实质性格式）</w:t>
      </w:r>
    </w:p>
    <w:p>
      <w:pPr>
        <w:tabs>
          <w:tab w:val="left" w:pos="5580"/>
        </w:tabs>
        <w:spacing w:line="360" w:lineRule="auto"/>
        <w:rPr>
          <w:color w:val="000000"/>
          <w:sz w:val="24"/>
        </w:rPr>
      </w:pPr>
    </w:p>
    <w:p>
      <w:pPr>
        <w:spacing w:line="400" w:lineRule="exact"/>
        <w:jc w:val="center"/>
        <w:rPr>
          <w:b/>
          <w:color w:val="000000"/>
          <w:sz w:val="36"/>
          <w:szCs w:val="36"/>
        </w:rPr>
      </w:pPr>
      <w:r>
        <w:rPr>
          <w:rFonts w:hint="eastAsia"/>
          <w:b/>
          <w:color w:val="000000"/>
          <w:sz w:val="36"/>
          <w:szCs w:val="36"/>
        </w:rPr>
        <w:t>响应函</w:t>
      </w:r>
    </w:p>
    <w:p>
      <w:pPr>
        <w:tabs>
          <w:tab w:val="left" w:pos="5580"/>
        </w:tabs>
        <w:spacing w:line="360" w:lineRule="auto"/>
        <w:rPr>
          <w:color w:val="000000"/>
          <w:sz w:val="24"/>
        </w:rPr>
      </w:pPr>
      <w:r>
        <w:rPr>
          <w:color w:val="000000"/>
          <w:sz w:val="24"/>
        </w:rPr>
        <w:t>致：</w:t>
      </w:r>
      <w:r>
        <w:rPr>
          <w:color w:val="000000"/>
          <w:sz w:val="24"/>
          <w:u w:val="single"/>
        </w:rPr>
        <w:t>（采购人或采购代理机构）</w:t>
      </w:r>
    </w:p>
    <w:p>
      <w:pPr>
        <w:tabs>
          <w:tab w:val="left" w:pos="5580"/>
        </w:tabs>
        <w:spacing w:line="360" w:lineRule="auto"/>
        <w:rPr>
          <w:color w:val="000000"/>
          <w:sz w:val="24"/>
          <w:szCs w:val="20"/>
        </w:rPr>
      </w:pPr>
    </w:p>
    <w:p>
      <w:pPr>
        <w:tabs>
          <w:tab w:val="left" w:pos="5580"/>
        </w:tabs>
        <w:spacing w:line="360" w:lineRule="auto"/>
        <w:ind w:firstLine="408"/>
        <w:rPr>
          <w:color w:val="000000"/>
          <w:sz w:val="24"/>
          <w:szCs w:val="20"/>
        </w:rPr>
      </w:pPr>
      <w:r>
        <w:rPr>
          <w:color w:val="000000"/>
          <w:sz w:val="24"/>
          <w:szCs w:val="20"/>
        </w:rPr>
        <w:t>我方参加你方就___________（项目名称，项目编号/包号）组织的</w:t>
      </w:r>
      <w:r>
        <w:rPr>
          <w:rFonts w:hint="eastAsia"/>
          <w:color w:val="000000"/>
          <w:sz w:val="24"/>
          <w:szCs w:val="20"/>
        </w:rPr>
        <w:t>政府采购</w:t>
      </w:r>
      <w:r>
        <w:rPr>
          <w:color w:val="000000"/>
          <w:sz w:val="24"/>
          <w:szCs w:val="20"/>
        </w:rPr>
        <w:t>活动，并对此项目进行响应。</w:t>
      </w:r>
    </w:p>
    <w:p>
      <w:pPr>
        <w:tabs>
          <w:tab w:val="left" w:pos="5580"/>
        </w:tabs>
        <w:spacing w:line="360" w:lineRule="auto"/>
        <w:ind w:firstLine="408"/>
        <w:rPr>
          <w:color w:val="000000"/>
          <w:sz w:val="24"/>
          <w:szCs w:val="20"/>
        </w:rPr>
      </w:pPr>
      <w:r>
        <w:rPr>
          <w:color w:val="000000"/>
          <w:sz w:val="24"/>
          <w:szCs w:val="20"/>
        </w:rPr>
        <w:t>1. 我方</w:t>
      </w:r>
      <w:r>
        <w:rPr>
          <w:color w:val="000000"/>
          <w:sz w:val="24"/>
        </w:rPr>
        <w:t>已详细审查全部谈判文件</w:t>
      </w:r>
      <w:r>
        <w:rPr>
          <w:color w:val="000000"/>
          <w:sz w:val="24"/>
          <w:szCs w:val="20"/>
        </w:rPr>
        <w:t>，自愿参与响应并承诺如下：</w:t>
      </w:r>
    </w:p>
    <w:p>
      <w:pPr>
        <w:tabs>
          <w:tab w:val="left" w:pos="720"/>
          <w:tab w:val="left" w:pos="900"/>
        </w:tabs>
        <w:spacing w:line="360" w:lineRule="auto"/>
        <w:ind w:left="360" w:firstLine="72" w:firstLineChars="30"/>
        <w:rPr>
          <w:color w:val="000000"/>
          <w:sz w:val="24"/>
          <w:szCs w:val="20"/>
        </w:rPr>
      </w:pPr>
      <w:r>
        <w:rPr>
          <w:color w:val="000000"/>
          <w:sz w:val="24"/>
          <w:szCs w:val="20"/>
        </w:rPr>
        <w:t>（1）本响应有效期为自提交响应文件的截止之日起</w:t>
      </w:r>
      <w:r>
        <w:rPr>
          <w:rFonts w:hint="eastAsia"/>
          <w:sz w:val="24"/>
        </w:rPr>
        <w:t>120</w:t>
      </w:r>
      <w:r>
        <w:rPr>
          <w:color w:val="000000"/>
          <w:sz w:val="24"/>
          <w:szCs w:val="20"/>
        </w:rPr>
        <w:t>个日历日。</w:t>
      </w:r>
    </w:p>
    <w:p>
      <w:pPr>
        <w:tabs>
          <w:tab w:val="left" w:pos="720"/>
          <w:tab w:val="left" w:pos="900"/>
        </w:tabs>
        <w:spacing w:line="360" w:lineRule="auto"/>
        <w:ind w:left="360" w:firstLine="72" w:firstLineChars="30"/>
        <w:rPr>
          <w:color w:val="000000"/>
          <w:sz w:val="24"/>
          <w:szCs w:val="20"/>
        </w:rPr>
      </w:pPr>
      <w:r>
        <w:rPr>
          <w:color w:val="000000"/>
          <w:sz w:val="24"/>
          <w:szCs w:val="20"/>
        </w:rPr>
        <w:t>（2）除合同条款及采购需求偏离表列出的偏离外，我方响应谈判文件的全部要求。</w:t>
      </w:r>
    </w:p>
    <w:p>
      <w:pPr>
        <w:tabs>
          <w:tab w:val="left" w:pos="5580"/>
        </w:tabs>
        <w:spacing w:line="360" w:lineRule="auto"/>
        <w:ind w:firstLine="420" w:firstLineChars="175"/>
        <w:rPr>
          <w:color w:val="000000"/>
          <w:sz w:val="24"/>
          <w:szCs w:val="20"/>
        </w:rPr>
      </w:pPr>
      <w:r>
        <w:rPr>
          <w:color w:val="000000"/>
          <w:sz w:val="24"/>
          <w:szCs w:val="20"/>
        </w:rPr>
        <w:t>（3）我方已提供的全部文件资料是真实、准确的，并对此承担一切法律后果。</w:t>
      </w:r>
    </w:p>
    <w:p>
      <w:pPr>
        <w:tabs>
          <w:tab w:val="left" w:pos="5580"/>
        </w:tabs>
        <w:spacing w:line="360" w:lineRule="auto"/>
        <w:ind w:firstLine="420" w:firstLineChars="175"/>
        <w:rPr>
          <w:color w:val="000000"/>
          <w:sz w:val="24"/>
        </w:rPr>
      </w:pPr>
      <w:r>
        <w:rPr>
          <w:color w:val="000000"/>
          <w:sz w:val="24"/>
          <w:szCs w:val="20"/>
        </w:rPr>
        <w:t>（4）如我方中标，我方将在法律规定的期限内与你方签订合同，按照谈判文件要求提交履约保证金，并在合同约定的期限内完成合同规定的全部义务。</w:t>
      </w:r>
    </w:p>
    <w:p>
      <w:pPr>
        <w:spacing w:line="360" w:lineRule="auto"/>
        <w:ind w:left="420"/>
        <w:rPr>
          <w:color w:val="000000"/>
          <w:sz w:val="24"/>
        </w:rPr>
      </w:pPr>
      <w:r>
        <w:rPr>
          <w:color w:val="000000"/>
          <w:sz w:val="24"/>
        </w:rPr>
        <w:t>2. 其他补充条款（如有）：</w:t>
      </w:r>
      <w:r>
        <w:rPr>
          <w:color w:val="000000"/>
          <w:sz w:val="24"/>
          <w:szCs w:val="20"/>
        </w:rPr>
        <w:t>___________</w:t>
      </w:r>
      <w:r>
        <w:rPr>
          <w:color w:val="000000"/>
          <w:sz w:val="24"/>
        </w:rPr>
        <w:t>。</w:t>
      </w:r>
    </w:p>
    <w:p>
      <w:pPr>
        <w:spacing w:line="360" w:lineRule="auto"/>
        <w:ind w:firstLine="480" w:firstLineChars="200"/>
        <w:rPr>
          <w:color w:val="000000"/>
          <w:sz w:val="24"/>
        </w:rPr>
      </w:pPr>
      <w:r>
        <w:rPr>
          <w:color w:val="000000"/>
          <w:sz w:val="24"/>
        </w:rPr>
        <w:t>与本响应有关的一切正式往来信函请寄：</w:t>
      </w:r>
    </w:p>
    <w:p>
      <w:pPr>
        <w:tabs>
          <w:tab w:val="left" w:pos="5580"/>
        </w:tabs>
        <w:spacing w:line="360" w:lineRule="auto"/>
        <w:ind w:left="420"/>
        <w:rPr>
          <w:color w:val="000000"/>
          <w:sz w:val="24"/>
          <w:szCs w:val="20"/>
        </w:rPr>
      </w:pPr>
    </w:p>
    <w:p>
      <w:pPr>
        <w:tabs>
          <w:tab w:val="left" w:pos="5580"/>
        </w:tabs>
        <w:spacing w:line="360" w:lineRule="auto"/>
        <w:ind w:left="420"/>
        <w:rPr>
          <w:color w:val="000000"/>
          <w:sz w:val="24"/>
          <w:szCs w:val="20"/>
        </w:rPr>
      </w:pPr>
      <w:r>
        <w:rPr>
          <w:color w:val="000000"/>
          <w:sz w:val="24"/>
          <w:szCs w:val="20"/>
        </w:rPr>
        <w:t>地址_________________________     传真____________________________</w:t>
      </w:r>
    </w:p>
    <w:p>
      <w:pPr>
        <w:tabs>
          <w:tab w:val="left" w:pos="5580"/>
        </w:tabs>
        <w:spacing w:line="360" w:lineRule="auto"/>
        <w:ind w:left="420"/>
        <w:rPr>
          <w:color w:val="000000"/>
          <w:sz w:val="24"/>
          <w:szCs w:val="20"/>
        </w:rPr>
      </w:pPr>
      <w:r>
        <w:rPr>
          <w:color w:val="000000"/>
          <w:sz w:val="24"/>
          <w:szCs w:val="20"/>
        </w:rPr>
        <w:t>电话_________________________     电子函件________________________</w:t>
      </w:r>
    </w:p>
    <w:p>
      <w:pPr>
        <w:tabs>
          <w:tab w:val="left" w:pos="5580"/>
        </w:tabs>
        <w:spacing w:line="360" w:lineRule="auto"/>
        <w:ind w:left="420"/>
        <w:rPr>
          <w:color w:val="000000"/>
          <w:sz w:val="24"/>
          <w:szCs w:val="20"/>
        </w:rPr>
      </w:pPr>
    </w:p>
    <w:p>
      <w:pPr>
        <w:tabs>
          <w:tab w:val="left" w:pos="5580"/>
        </w:tabs>
        <w:spacing w:line="360" w:lineRule="auto"/>
        <w:ind w:left="420"/>
        <w:rPr>
          <w:color w:val="000000"/>
          <w:sz w:val="24"/>
          <w:szCs w:val="20"/>
        </w:rPr>
      </w:pPr>
      <w:r>
        <w:rPr>
          <w:color w:val="000000"/>
          <w:sz w:val="24"/>
          <w:szCs w:val="20"/>
        </w:rPr>
        <w:t>供应商名称（加盖公章） ___________</w:t>
      </w:r>
    </w:p>
    <w:p>
      <w:pPr>
        <w:tabs>
          <w:tab w:val="left" w:pos="5580"/>
        </w:tabs>
        <w:spacing w:line="360" w:lineRule="auto"/>
        <w:ind w:left="420"/>
        <w:rPr>
          <w:color w:val="000000"/>
          <w:sz w:val="24"/>
          <w:szCs w:val="20"/>
        </w:rPr>
      </w:pPr>
      <w:r>
        <w:rPr>
          <w:color w:val="000000"/>
          <w:sz w:val="24"/>
          <w:szCs w:val="20"/>
        </w:rPr>
        <w:t xml:space="preserve">日期：_____年______月______日    </w:t>
      </w:r>
    </w:p>
    <w:p>
      <w:pPr>
        <w:tabs>
          <w:tab w:val="left" w:pos="5580"/>
        </w:tabs>
        <w:spacing w:line="360" w:lineRule="auto"/>
        <w:ind w:left="420"/>
        <w:rPr>
          <w:color w:val="000000"/>
          <w:sz w:val="24"/>
          <w:szCs w:val="20"/>
          <w:u w:val="single"/>
        </w:rPr>
      </w:pPr>
    </w:p>
    <w:p>
      <w:pPr>
        <w:widowControl/>
        <w:jc w:val="left"/>
        <w:rPr>
          <w:color w:val="000000"/>
          <w:sz w:val="24"/>
        </w:rPr>
      </w:pPr>
      <w:bookmarkStart w:id="1157" w:name="_Hlt520355938"/>
      <w:bookmarkEnd w:id="1157"/>
      <w:bookmarkStart w:id="1158" w:name="_Hlt520356243"/>
      <w:bookmarkEnd w:id="1158"/>
      <w:r>
        <w:rPr>
          <w:color w:val="000000"/>
          <w:sz w:val="24"/>
        </w:rPr>
        <w:br w:type="page"/>
      </w:r>
    </w:p>
    <w:p>
      <w:pPr>
        <w:widowControl/>
        <w:jc w:val="left"/>
        <w:rPr>
          <w:color w:val="000000"/>
          <w:sz w:val="24"/>
        </w:rPr>
      </w:pPr>
      <w:r>
        <w:rPr>
          <w:rFonts w:hint="eastAsia"/>
          <w:color w:val="000000"/>
          <w:sz w:val="24"/>
        </w:rPr>
        <w:t>5</w:t>
      </w:r>
      <w:r>
        <w:rPr>
          <w:color w:val="000000"/>
          <w:sz w:val="24"/>
        </w:rPr>
        <w:t xml:space="preserve">  </w:t>
      </w:r>
      <w:r>
        <w:rPr>
          <w:rFonts w:hint="eastAsia"/>
          <w:color w:val="000000"/>
          <w:sz w:val="24"/>
        </w:rPr>
        <w:t>法定代表人资格证明书、法定代表人授权委托书</w:t>
      </w:r>
      <w:r>
        <w:rPr>
          <w:color w:val="000000"/>
          <w:sz w:val="24"/>
          <w:szCs w:val="20"/>
        </w:rPr>
        <w:t>（实质性格式）</w:t>
      </w:r>
    </w:p>
    <w:p>
      <w:pPr>
        <w:spacing w:line="360" w:lineRule="auto"/>
        <w:jc w:val="center"/>
        <w:rPr>
          <w:rFonts w:ascii="宋体" w:hAnsi="宋体"/>
          <w:b/>
          <w:sz w:val="32"/>
          <w:szCs w:val="32"/>
        </w:rPr>
      </w:pPr>
    </w:p>
    <w:p>
      <w:pPr>
        <w:spacing w:line="400" w:lineRule="exact"/>
        <w:jc w:val="center"/>
        <w:rPr>
          <w:b/>
          <w:color w:val="000000"/>
          <w:sz w:val="36"/>
          <w:szCs w:val="36"/>
        </w:rPr>
      </w:pPr>
      <w:r>
        <w:rPr>
          <w:rFonts w:hint="eastAsia"/>
          <w:b/>
          <w:color w:val="000000"/>
          <w:sz w:val="36"/>
          <w:szCs w:val="36"/>
        </w:rPr>
        <w:t>法定代表人资格证明书</w:t>
      </w:r>
    </w:p>
    <w:p>
      <w:pPr>
        <w:spacing w:line="560" w:lineRule="exact"/>
        <w:rPr>
          <w:rFonts w:ascii="宋体" w:hAnsi="宋体"/>
          <w:sz w:val="24"/>
        </w:rPr>
      </w:pPr>
      <w:r>
        <w:rPr>
          <w:rFonts w:hint="eastAsia" w:ascii="宋体" w:hAnsi="宋体"/>
          <w:sz w:val="24"/>
        </w:rPr>
        <w:t>单位名称:</w:t>
      </w:r>
    </w:p>
    <w:p>
      <w:pPr>
        <w:spacing w:line="560" w:lineRule="exact"/>
        <w:rPr>
          <w:rFonts w:ascii="宋体" w:hAnsi="宋体"/>
          <w:sz w:val="24"/>
        </w:rPr>
      </w:pPr>
      <w:r>
        <w:rPr>
          <w:rFonts w:hint="eastAsia" w:ascii="宋体" w:hAnsi="宋体"/>
          <w:sz w:val="24"/>
        </w:rPr>
        <w:t>地址:</w:t>
      </w:r>
    </w:p>
    <w:p>
      <w:pPr>
        <w:spacing w:line="560" w:lineRule="exact"/>
        <w:rPr>
          <w:rFonts w:ascii="宋体" w:hAnsi="宋体"/>
          <w:sz w:val="24"/>
        </w:rPr>
      </w:pPr>
      <w:r>
        <w:rPr>
          <w:rFonts w:hint="eastAsia" w:ascii="宋体" w:hAnsi="宋体"/>
          <w:sz w:val="24"/>
        </w:rPr>
        <w:t>姓名:     性别:       年龄:      职务:</w:t>
      </w:r>
    </w:p>
    <w:p>
      <w:pPr>
        <w:spacing w:line="560" w:lineRule="exact"/>
        <w:rPr>
          <w:rFonts w:ascii="宋体" w:hAnsi="宋体"/>
          <w:sz w:val="24"/>
        </w:rPr>
      </w:pPr>
      <w:r>
        <w:rPr>
          <w:rFonts w:hint="eastAsia" w:ascii="宋体" w:hAnsi="宋体"/>
          <w:sz w:val="24"/>
        </w:rPr>
        <w:t>系</w:t>
      </w:r>
      <w:r>
        <w:rPr>
          <w:rFonts w:hint="eastAsia" w:ascii="宋体" w:hAnsi="宋体"/>
          <w:sz w:val="24"/>
          <w:u w:val="single"/>
        </w:rPr>
        <w:t>（供应商名称）</w:t>
      </w:r>
      <w:r>
        <w:rPr>
          <w:rFonts w:hint="eastAsia" w:ascii="宋体" w:hAnsi="宋体"/>
          <w:sz w:val="24"/>
        </w:rPr>
        <w:t>的法定代表人。为参与</w:t>
      </w:r>
      <w:r>
        <w:rPr>
          <w:rFonts w:hint="eastAsia" w:ascii="宋体" w:hAnsi="宋体"/>
          <w:sz w:val="24"/>
          <w:u w:val="single"/>
        </w:rPr>
        <w:t>（项目名称）</w:t>
      </w:r>
      <w:r>
        <w:rPr>
          <w:rFonts w:hint="eastAsia" w:ascii="宋体" w:hAnsi="宋体"/>
          <w:sz w:val="24"/>
        </w:rPr>
        <w:t>的政府采购活动，</w:t>
      </w:r>
      <w:r>
        <w:rPr>
          <w:rFonts w:ascii="宋体" w:hAnsi="宋体"/>
          <w:color w:val="000000"/>
          <w:sz w:val="24"/>
          <w:szCs w:val="20"/>
        </w:rPr>
        <w:t>签署、澄清确认、递交、撤回、修改</w:t>
      </w:r>
      <w:r>
        <w:rPr>
          <w:rFonts w:hint="eastAsia" w:ascii="宋体" w:hAnsi="宋体"/>
          <w:sz w:val="24"/>
        </w:rPr>
        <w:t>上述项目的响应文件、进行合同谈判、签署合同和处理与之有关的一切事务。</w:t>
      </w:r>
    </w:p>
    <w:p>
      <w:pPr>
        <w:spacing w:line="560" w:lineRule="exact"/>
        <w:rPr>
          <w:rFonts w:ascii="宋体" w:hAnsi="宋体"/>
          <w:sz w:val="24"/>
        </w:rPr>
      </w:pPr>
      <w:r>
        <w:rPr>
          <w:rFonts w:hint="eastAsia" w:ascii="宋体" w:hAnsi="宋体"/>
          <w:sz w:val="24"/>
        </w:rPr>
        <w:t>特此证明。</w:t>
      </w:r>
    </w:p>
    <w:p>
      <w:pPr>
        <w:spacing w:line="560" w:lineRule="exact"/>
        <w:rPr>
          <w:rFonts w:ascii="宋体" w:hAnsi="宋体"/>
          <w:sz w:val="24"/>
        </w:rPr>
      </w:pPr>
    </w:p>
    <w:p>
      <w:pPr>
        <w:pStyle w:val="18"/>
        <w:kinsoku w:val="0"/>
        <w:overflowPunct w:val="0"/>
        <w:spacing w:line="583" w:lineRule="auto"/>
        <w:ind w:right="-46"/>
        <w:rPr>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w:t>
      </w:r>
      <w:r>
        <w:rPr>
          <w:rFonts w:hint="eastAsia"/>
          <w:spacing w:val="-3"/>
        </w:rPr>
        <w:t>份</w:t>
      </w:r>
      <w:r>
        <w:rPr>
          <w:spacing w:val="-3"/>
        </w:rPr>
        <w:t>证正反面</w:t>
      </w:r>
      <w:r>
        <w:rPr>
          <w:rFonts w:hint="eastAsia"/>
          <w:spacing w:val="-3"/>
        </w:rPr>
        <w:t>电子</w:t>
      </w:r>
      <w:r>
        <w:rPr>
          <w:spacing w:val="-3"/>
        </w:rPr>
        <w:t>件</w:t>
      </w:r>
      <w:r>
        <w:rPr>
          <w:rFonts w:hint="eastAsia"/>
          <w:spacing w:val="-3"/>
        </w:rPr>
        <w:t>。</w:t>
      </w:r>
    </w:p>
    <w:tbl>
      <w:tblPr>
        <w:tblStyle w:val="43"/>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Pr>
          <w:p>
            <w:pPr>
              <w:tabs>
                <w:tab w:val="left" w:pos="5580"/>
              </w:tabs>
              <w:spacing w:line="360" w:lineRule="auto"/>
              <w:jc w:val="left"/>
              <w:rPr>
                <w:rFonts w:ascii="宋体" w:hAnsi="宋体"/>
                <w:color w:val="000000"/>
                <w:sz w:val="24"/>
                <w:szCs w:val="20"/>
              </w:rPr>
            </w:pPr>
          </w:p>
          <w:p>
            <w:pPr>
              <w:tabs>
                <w:tab w:val="left" w:pos="5580"/>
              </w:tabs>
              <w:spacing w:line="360" w:lineRule="auto"/>
              <w:jc w:val="left"/>
              <w:rPr>
                <w:rFonts w:ascii="宋体" w:hAnsi="宋体"/>
                <w:color w:val="000000"/>
                <w:sz w:val="24"/>
                <w:szCs w:val="20"/>
              </w:rPr>
            </w:pPr>
          </w:p>
          <w:p>
            <w:pPr>
              <w:tabs>
                <w:tab w:val="left" w:pos="5580"/>
              </w:tabs>
              <w:spacing w:line="360" w:lineRule="auto"/>
              <w:jc w:val="left"/>
              <w:rPr>
                <w:rFonts w:ascii="宋体" w:hAnsi="宋体"/>
                <w:color w:val="000000"/>
                <w:sz w:val="24"/>
                <w:szCs w:val="20"/>
              </w:rPr>
            </w:pPr>
          </w:p>
        </w:tc>
        <w:tc>
          <w:tcPr>
            <w:tcW w:w="4536" w:type="dxa"/>
          </w:tcPr>
          <w:p>
            <w:pPr>
              <w:tabs>
                <w:tab w:val="left" w:pos="5580"/>
              </w:tabs>
              <w:spacing w:line="360" w:lineRule="auto"/>
              <w:jc w:val="left"/>
              <w:rPr>
                <w:rFonts w:ascii="宋体" w:hAnsi="宋体"/>
                <w:color w:val="000000"/>
                <w:sz w:val="24"/>
                <w:szCs w:val="20"/>
              </w:rPr>
            </w:pPr>
          </w:p>
          <w:p>
            <w:pPr>
              <w:tabs>
                <w:tab w:val="left" w:pos="5580"/>
              </w:tabs>
              <w:spacing w:line="360" w:lineRule="auto"/>
              <w:jc w:val="left"/>
              <w:rPr>
                <w:rFonts w:ascii="宋体" w:hAnsi="宋体"/>
                <w:color w:val="000000"/>
                <w:sz w:val="24"/>
                <w:szCs w:val="20"/>
              </w:rPr>
            </w:pPr>
          </w:p>
          <w:p>
            <w:pPr>
              <w:tabs>
                <w:tab w:val="left" w:pos="5580"/>
              </w:tabs>
              <w:spacing w:line="360" w:lineRule="auto"/>
              <w:jc w:val="left"/>
              <w:rPr>
                <w:rFonts w:ascii="宋体" w:hAnsi="宋体"/>
                <w:color w:val="000000"/>
                <w:sz w:val="24"/>
                <w:szCs w:val="20"/>
              </w:rPr>
            </w:pPr>
          </w:p>
        </w:tc>
      </w:tr>
    </w:tbl>
    <w:p>
      <w:pPr>
        <w:spacing w:line="560" w:lineRule="exact"/>
        <w:rPr>
          <w:rFonts w:ascii="宋体" w:hAnsi="宋体"/>
          <w:sz w:val="24"/>
        </w:rPr>
      </w:pPr>
      <w:r>
        <w:rPr>
          <w:rFonts w:hint="eastAsia" w:ascii="宋体" w:hAnsi="宋体"/>
          <w:sz w:val="24"/>
        </w:rPr>
        <w:t>                     供应商：（加盖公章）</w:t>
      </w:r>
    </w:p>
    <w:p>
      <w:pPr>
        <w:spacing w:line="560" w:lineRule="exact"/>
        <w:rPr>
          <w:rFonts w:ascii="宋体" w:hAnsi="宋体"/>
          <w:sz w:val="24"/>
        </w:rPr>
      </w:pPr>
      <w:r>
        <w:rPr>
          <w:rFonts w:hint="eastAsia" w:ascii="宋体" w:hAnsi="宋体"/>
          <w:sz w:val="24"/>
        </w:rPr>
        <w:t>                       法定代表人</w:t>
      </w:r>
      <w:r>
        <w:rPr>
          <w:rFonts w:ascii="宋体" w:hAnsi="宋体"/>
          <w:color w:val="000000"/>
          <w:sz w:val="24"/>
          <w:szCs w:val="20"/>
        </w:rPr>
        <w:t>签字</w:t>
      </w:r>
      <w:r>
        <w:rPr>
          <w:rFonts w:hint="eastAsia" w:ascii="宋体" w:hAnsi="宋体"/>
          <w:color w:val="000000"/>
          <w:sz w:val="24"/>
          <w:szCs w:val="20"/>
        </w:rPr>
        <w:t>、签章</w:t>
      </w:r>
      <w:r>
        <w:rPr>
          <w:rFonts w:ascii="宋体" w:hAnsi="宋体"/>
          <w:color w:val="000000"/>
          <w:sz w:val="24"/>
          <w:szCs w:val="20"/>
        </w:rPr>
        <w:t>或</w:t>
      </w:r>
      <w:r>
        <w:rPr>
          <w:rFonts w:hint="eastAsia" w:ascii="宋体" w:hAnsi="宋体"/>
          <w:color w:val="000000"/>
          <w:sz w:val="24"/>
          <w:szCs w:val="20"/>
        </w:rPr>
        <w:t>印鉴</w:t>
      </w:r>
      <w:r>
        <w:rPr>
          <w:rFonts w:hint="eastAsia" w:ascii="宋体" w:hAnsi="宋体"/>
          <w:sz w:val="24"/>
        </w:rPr>
        <w:t>：</w:t>
      </w:r>
    </w:p>
    <w:p>
      <w:pPr>
        <w:spacing w:line="560" w:lineRule="exact"/>
        <w:ind w:firstLine="4320" w:firstLineChars="1800"/>
        <w:rPr>
          <w:rFonts w:ascii="宋体" w:hAnsi="宋体"/>
          <w:sz w:val="24"/>
        </w:rPr>
      </w:pPr>
      <w:r>
        <w:rPr>
          <w:rFonts w:hint="eastAsia" w:ascii="宋体" w:hAnsi="宋体"/>
          <w:sz w:val="24"/>
        </w:rPr>
        <w:t>日期：    年    月    日</w:t>
      </w:r>
    </w:p>
    <w:p>
      <w:pPr>
        <w:widowControl/>
        <w:jc w:val="left"/>
        <w:rPr>
          <w:color w:val="000000"/>
          <w:sz w:val="24"/>
        </w:rPr>
      </w:pPr>
    </w:p>
    <w:p>
      <w:pPr>
        <w:widowControl/>
        <w:jc w:val="left"/>
        <w:rPr>
          <w:color w:val="000000"/>
          <w:sz w:val="24"/>
        </w:rPr>
      </w:pPr>
    </w:p>
    <w:p>
      <w:pPr>
        <w:widowControl/>
        <w:jc w:val="left"/>
        <w:rPr>
          <w:color w:val="000000"/>
          <w:sz w:val="24"/>
        </w:rPr>
      </w:pP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说明</w:t>
      </w:r>
      <w:r>
        <w:rPr>
          <w:rFonts w:ascii="宋体" w:hAnsi="宋体"/>
          <w:color w:val="000000"/>
          <w:sz w:val="24"/>
          <w:szCs w:val="20"/>
        </w:rPr>
        <w:t>：</w:t>
      </w:r>
    </w:p>
    <w:p>
      <w:pPr>
        <w:tabs>
          <w:tab w:val="left" w:pos="5580"/>
        </w:tabs>
        <w:spacing w:line="360" w:lineRule="auto"/>
        <w:jc w:val="left"/>
        <w:rPr>
          <w:rFonts w:ascii="宋体" w:hAnsi="宋体"/>
          <w:color w:val="000000"/>
          <w:sz w:val="24"/>
          <w:szCs w:val="20"/>
        </w:rPr>
      </w:pPr>
      <w:r>
        <w:rPr>
          <w:rFonts w:ascii="宋体" w:hAnsi="宋体"/>
          <w:color w:val="000000"/>
          <w:sz w:val="24"/>
          <w:szCs w:val="20"/>
        </w:rPr>
        <w:t>1.若供应商为事业单位或其他组织或分支机构（仅当</w:t>
      </w:r>
      <w:r>
        <w:rPr>
          <w:rFonts w:hint="eastAsia" w:ascii="宋体" w:hAnsi="宋体"/>
          <w:color w:val="000000"/>
          <w:sz w:val="24"/>
          <w:szCs w:val="20"/>
        </w:rPr>
        <w:t>谈判文件</w:t>
      </w:r>
      <w:r>
        <w:rPr>
          <w:rFonts w:ascii="宋体" w:hAnsi="宋体"/>
          <w:color w:val="000000"/>
          <w:sz w:val="24"/>
          <w:szCs w:val="20"/>
        </w:rPr>
        <w:t>注明允许分支机构</w:t>
      </w:r>
      <w:r>
        <w:rPr>
          <w:rFonts w:hint="eastAsia" w:ascii="宋体" w:hAnsi="宋体"/>
          <w:color w:val="000000"/>
          <w:sz w:val="24"/>
          <w:szCs w:val="20"/>
        </w:rPr>
        <w:t>响应</w:t>
      </w:r>
      <w:r>
        <w:rPr>
          <w:rFonts w:ascii="宋体" w:hAnsi="宋体"/>
          <w:color w:val="000000"/>
          <w:sz w:val="24"/>
          <w:szCs w:val="20"/>
        </w:rPr>
        <w:t>的），则法定代表人（单位负责人）</w:t>
      </w:r>
      <w:r>
        <w:rPr>
          <w:rFonts w:hint="eastAsia" w:ascii="宋体" w:hAnsi="宋体"/>
          <w:color w:val="000000"/>
          <w:sz w:val="24"/>
          <w:szCs w:val="20"/>
        </w:rPr>
        <w:t>处</w:t>
      </w:r>
      <w:r>
        <w:rPr>
          <w:rFonts w:ascii="宋体" w:hAnsi="宋体"/>
          <w:color w:val="000000"/>
          <w:sz w:val="24"/>
          <w:szCs w:val="20"/>
        </w:rPr>
        <w:t>的签署人可为单位负责人</w:t>
      </w:r>
      <w:r>
        <w:rPr>
          <w:rFonts w:hint="eastAsia" w:ascii="宋体" w:hAnsi="宋体"/>
          <w:color w:val="000000"/>
          <w:sz w:val="24"/>
          <w:szCs w:val="20"/>
        </w:rPr>
        <w:t>。</w:t>
      </w:r>
    </w:p>
    <w:p>
      <w:pPr>
        <w:tabs>
          <w:tab w:val="left" w:pos="5580"/>
        </w:tabs>
        <w:spacing w:line="360" w:lineRule="auto"/>
        <w:jc w:val="left"/>
        <w:rPr>
          <w:rFonts w:ascii="宋体" w:hAnsi="宋体"/>
          <w:i/>
          <w:color w:val="000000"/>
          <w:sz w:val="24"/>
          <w:szCs w:val="20"/>
          <w:u w:val="single"/>
        </w:rPr>
      </w:pPr>
      <w:r>
        <w:rPr>
          <w:rFonts w:ascii="宋体" w:hAnsi="宋体"/>
          <w:color w:val="000000"/>
          <w:sz w:val="24"/>
          <w:szCs w:val="20"/>
        </w:rPr>
        <w:t>3.</w:t>
      </w:r>
      <w:r>
        <w:rPr>
          <w:rFonts w:hint="eastAsia" w:ascii="宋体" w:hAnsi="宋体"/>
          <w:color w:val="000000"/>
          <w:sz w:val="24"/>
          <w:szCs w:val="20"/>
        </w:rPr>
        <w:t>供应商为自然人的情形，可不提供本</w:t>
      </w:r>
      <w:r>
        <w:rPr>
          <w:rFonts w:ascii="宋体" w:hAnsi="宋体"/>
          <w:color w:val="000000"/>
          <w:sz w:val="24"/>
          <w:szCs w:val="20"/>
        </w:rPr>
        <w:t>《</w:t>
      </w:r>
      <w:r>
        <w:rPr>
          <w:rFonts w:hint="eastAsia" w:ascii="宋体" w:hAnsi="宋体"/>
          <w:color w:val="000000"/>
          <w:sz w:val="24"/>
          <w:szCs w:val="20"/>
        </w:rPr>
        <w:t>授权委托书</w:t>
      </w:r>
      <w:r>
        <w:rPr>
          <w:rFonts w:ascii="宋体" w:hAnsi="宋体"/>
          <w:color w:val="000000"/>
          <w:sz w:val="24"/>
          <w:szCs w:val="20"/>
        </w:rPr>
        <w:t>》</w:t>
      </w:r>
      <w:r>
        <w:rPr>
          <w:rFonts w:hint="eastAsia" w:ascii="宋体" w:hAnsi="宋体"/>
          <w:color w:val="000000"/>
          <w:sz w:val="24"/>
          <w:szCs w:val="20"/>
        </w:rPr>
        <w:t>。</w:t>
      </w:r>
    </w:p>
    <w:p>
      <w:pPr>
        <w:spacing w:line="400" w:lineRule="exact"/>
        <w:jc w:val="center"/>
        <w:rPr>
          <w:rFonts w:ascii="宋体" w:hAnsi="宋体" w:cs="宋体"/>
          <w:b/>
          <w:sz w:val="24"/>
        </w:rPr>
      </w:pPr>
      <w:r>
        <w:rPr>
          <w:rFonts w:hint="eastAsia"/>
          <w:color w:val="000000"/>
          <w:sz w:val="24"/>
        </w:rPr>
        <w:br w:type="page"/>
      </w:r>
      <w:r>
        <w:rPr>
          <w:rFonts w:hint="eastAsia"/>
          <w:b/>
          <w:color w:val="000000"/>
          <w:sz w:val="36"/>
          <w:szCs w:val="36"/>
        </w:rPr>
        <w:t>法定代表人授权委托书</w:t>
      </w:r>
    </w:p>
    <w:p>
      <w:pPr>
        <w:snapToGrid w:val="0"/>
        <w:spacing w:line="400" w:lineRule="exact"/>
        <w:ind w:firstLine="480" w:firstLineChars="200"/>
        <w:rPr>
          <w:rFonts w:ascii="宋体" w:hAnsi="宋体" w:cs="宋体"/>
          <w:color w:val="000000"/>
          <w:sz w:val="24"/>
        </w:rPr>
      </w:pPr>
    </w:p>
    <w:p>
      <w:pPr>
        <w:spacing w:line="400" w:lineRule="exact"/>
        <w:ind w:firstLine="480" w:firstLineChars="200"/>
        <w:rPr>
          <w:rFonts w:ascii="宋体" w:hAnsi="宋体" w:cs="宋体"/>
          <w:sz w:val="24"/>
        </w:rPr>
      </w:pPr>
      <w:r>
        <w:rPr>
          <w:rFonts w:hint="eastAsia" w:ascii="宋体" w:hAnsi="宋体" w:cs="宋体"/>
          <w:color w:val="000000"/>
          <w:sz w:val="24"/>
        </w:rPr>
        <w:t>本授权委托书声明：注册于</w:t>
      </w:r>
      <w:r>
        <w:rPr>
          <w:rFonts w:hint="eastAsia" w:ascii="宋体" w:hAnsi="宋体" w:cs="宋体"/>
          <w:color w:val="000000"/>
          <w:sz w:val="24"/>
          <w:u w:val="single"/>
        </w:rPr>
        <w:t xml:space="preserve">            </w:t>
      </w:r>
      <w:r>
        <w:rPr>
          <w:rFonts w:hint="eastAsia" w:ascii="宋体" w:hAnsi="宋体" w:cs="宋体"/>
          <w:color w:val="000000"/>
          <w:sz w:val="24"/>
        </w:rPr>
        <w:t>（响应人住址）的</w:t>
      </w:r>
      <w:r>
        <w:rPr>
          <w:rFonts w:hint="eastAsia" w:ascii="宋体" w:hAnsi="宋体" w:cs="宋体"/>
          <w:color w:val="000000"/>
          <w:sz w:val="24"/>
          <w:u w:val="single"/>
        </w:rPr>
        <w:t xml:space="preserve">            </w:t>
      </w:r>
      <w:r>
        <w:rPr>
          <w:rFonts w:hint="eastAsia" w:ascii="宋体" w:hAnsi="宋体" w:cs="宋体"/>
          <w:color w:val="000000"/>
          <w:sz w:val="24"/>
        </w:rPr>
        <w:t>（响应人名称）法定代表人</w:t>
      </w:r>
      <w:r>
        <w:rPr>
          <w:rFonts w:hint="eastAsia" w:ascii="宋体" w:hAnsi="宋体" w:cs="宋体"/>
          <w:color w:val="000000"/>
          <w:sz w:val="24"/>
          <w:u w:val="single"/>
        </w:rPr>
        <w:t xml:space="preserve">            </w:t>
      </w:r>
      <w:r>
        <w:rPr>
          <w:rFonts w:hint="eastAsia" w:ascii="宋体" w:hAnsi="宋体" w:cs="宋体"/>
          <w:color w:val="000000"/>
          <w:sz w:val="24"/>
        </w:rPr>
        <w:t>（法定代表人姓名、职</w:t>
      </w:r>
      <w:r>
        <w:rPr>
          <w:rFonts w:hint="eastAsia" w:ascii="宋体" w:hAnsi="宋体" w:cs="宋体"/>
          <w:sz w:val="24"/>
        </w:rPr>
        <w:t>务）代表本公司授权在下面签字的</w:t>
      </w:r>
      <w:r>
        <w:rPr>
          <w:rFonts w:hint="eastAsia" w:ascii="宋体" w:hAnsi="宋体" w:cs="宋体"/>
          <w:sz w:val="24"/>
          <w:u w:val="single"/>
        </w:rPr>
        <w:t xml:space="preserve">          </w:t>
      </w:r>
      <w:r>
        <w:rPr>
          <w:rFonts w:hint="eastAsia" w:ascii="宋体" w:hAnsi="宋体" w:cs="宋体"/>
          <w:sz w:val="24"/>
        </w:rPr>
        <w:t>（响应人代表姓名、职务）为本公司的合法代理人，就贵方组织的</w:t>
      </w:r>
      <w:r>
        <w:rPr>
          <w:rFonts w:hint="eastAsia" w:ascii="宋体" w:hAnsi="宋体" w:cs="宋体"/>
          <w:sz w:val="24"/>
          <w:u w:val="single"/>
        </w:rPr>
        <w:t xml:space="preserve">                    </w:t>
      </w:r>
      <w:r>
        <w:rPr>
          <w:rFonts w:hint="eastAsia" w:ascii="宋体" w:hAnsi="宋体" w:cs="宋体"/>
          <w:sz w:val="24"/>
        </w:rPr>
        <w:t xml:space="preserve"> 项目，项目编号：</w:t>
      </w:r>
      <w:r>
        <w:rPr>
          <w:rFonts w:hint="eastAsia" w:ascii="宋体" w:hAnsi="宋体" w:cs="宋体"/>
          <w:sz w:val="24"/>
          <w:u w:val="single"/>
        </w:rPr>
        <w:t xml:space="preserve">          </w:t>
      </w:r>
      <w:r>
        <w:rPr>
          <w:rFonts w:hint="eastAsia" w:ascii="宋体" w:hAnsi="宋体" w:cs="宋体"/>
          <w:sz w:val="24"/>
        </w:rPr>
        <w:t>，以本公司名义处理一切与之有关的事务。</w:t>
      </w:r>
    </w:p>
    <w:p>
      <w:pPr>
        <w:spacing w:line="400" w:lineRule="exact"/>
        <w:rPr>
          <w:rFonts w:ascii="宋体" w:hAnsi="宋体" w:cs="宋体"/>
          <w:sz w:val="24"/>
        </w:rPr>
      </w:pPr>
      <w:r>
        <w:rPr>
          <w:rFonts w:hint="eastAsia" w:ascii="宋体" w:hAnsi="宋体" w:cs="宋体"/>
          <w:sz w:val="24"/>
        </w:rPr>
        <w:t xml:space="preserve">    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u w:val="single"/>
        </w:rPr>
      </w:pPr>
      <w:r>
        <w:rPr>
          <w:rFonts w:hint="eastAsia" w:ascii="宋体" w:hAnsi="宋体" w:cs="宋体"/>
          <w:color w:val="000000"/>
          <w:sz w:val="24"/>
        </w:rPr>
        <w:t>法定代表人签字或盖章：</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日期：</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联系电话：</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身份证号码：</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u w:val="single"/>
        </w:rPr>
      </w:pPr>
      <w:r>
        <w:rPr>
          <w:rFonts w:hint="eastAsia" w:ascii="宋体" w:hAnsi="宋体" w:cs="宋体"/>
          <w:color w:val="000000"/>
          <w:sz w:val="24"/>
        </w:rPr>
        <w:t>响应人代表签字或盖章：</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日期：</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联系电话：</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u w:val="single"/>
        </w:rPr>
      </w:pPr>
      <w:r>
        <w:rPr>
          <w:rFonts w:hint="eastAsia" w:ascii="宋体" w:hAnsi="宋体" w:cs="宋体"/>
          <w:color w:val="000000"/>
          <w:sz w:val="24"/>
        </w:rPr>
        <w:t>身份证号码：</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u w:val="single"/>
        </w:rPr>
      </w:pPr>
      <w:r>
        <w:rPr>
          <w:rFonts w:hint="eastAsia" w:ascii="宋体" w:hAnsi="宋体" w:cs="宋体"/>
          <w:color w:val="000000"/>
          <w:sz w:val="24"/>
        </w:rPr>
        <w:t>响应人全称：</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u w:val="single"/>
        </w:rPr>
      </w:pPr>
      <w:r>
        <w:rPr>
          <w:rFonts w:hint="eastAsia" w:ascii="宋体" w:hAnsi="宋体" w:cs="宋体"/>
          <w:color w:val="000000"/>
          <w:sz w:val="24"/>
        </w:rPr>
        <w:t>响应人公章：</w:t>
      </w:r>
      <w:r>
        <w:rPr>
          <w:rFonts w:hint="eastAsia" w:ascii="宋体" w:hAnsi="宋体" w:cs="宋体"/>
          <w:color w:val="000000"/>
          <w:sz w:val="24"/>
          <w:u w:val="single"/>
        </w:rPr>
        <w:t xml:space="preserve">                                       </w:t>
      </w: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rPr>
      </w:pPr>
    </w:p>
    <w:p>
      <w:pPr>
        <w:snapToGrid w:val="0"/>
        <w:spacing w:line="400" w:lineRule="exact"/>
        <w:rPr>
          <w:rFonts w:ascii="宋体" w:hAnsi="宋体" w:cs="宋体"/>
          <w:color w:val="000000"/>
          <w:sz w:val="24"/>
        </w:rPr>
      </w:pPr>
      <w:r>
        <w:rPr>
          <w:rFonts w:hint="eastAsia" w:ascii="宋体" w:hAnsi="宋体" w:cs="宋体"/>
          <w:color w:val="000000"/>
          <w:sz w:val="24"/>
        </w:rPr>
        <w:t>响应人代表身份证（复印件）</w:t>
      </w:r>
    </w:p>
    <w:tbl>
      <w:tblPr>
        <w:tblStyle w:val="4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vAlign w:val="center"/>
          </w:tcPr>
          <w:p>
            <w:pPr>
              <w:pStyle w:val="2"/>
              <w:spacing w:line="400" w:lineRule="exact"/>
              <w:ind w:firstLine="1446" w:firstLineChars="600"/>
              <w:rPr>
                <w:rFonts w:hAnsi="宋体" w:cs="宋体"/>
                <w:szCs w:val="24"/>
              </w:rPr>
            </w:pPr>
            <w:r>
              <w:rPr>
                <w:rFonts w:hint="eastAsia" w:hAnsi="宋体" w:cs="宋体"/>
                <w:color w:val="000000"/>
                <w:szCs w:val="24"/>
              </w:rPr>
              <w:t>身份证正面</w:t>
            </w:r>
          </w:p>
          <w:p>
            <w:pPr>
              <w:spacing w:line="400" w:lineRule="exact"/>
              <w:jc w:val="center"/>
              <w:rPr>
                <w:rFonts w:ascii="宋体" w:hAnsi="宋体" w:cs="宋体"/>
                <w:sz w:val="24"/>
              </w:rPr>
            </w:pPr>
          </w:p>
          <w:p>
            <w:pPr>
              <w:pStyle w:val="2"/>
              <w:spacing w:line="400" w:lineRule="exact"/>
              <w:jc w:val="center"/>
              <w:rPr>
                <w:rFonts w:hAnsi="宋体" w:cs="宋体"/>
                <w:szCs w:val="24"/>
              </w:rPr>
            </w:pPr>
          </w:p>
        </w:tc>
        <w:tc>
          <w:tcPr>
            <w:tcW w:w="4530" w:type="dxa"/>
          </w:tcPr>
          <w:p>
            <w:pPr>
              <w:pStyle w:val="2"/>
              <w:spacing w:line="400" w:lineRule="exact"/>
              <w:ind w:firstLine="1928" w:firstLineChars="800"/>
              <w:rPr>
                <w:rFonts w:hAnsi="宋体" w:cs="宋体"/>
                <w:szCs w:val="24"/>
              </w:rPr>
            </w:pPr>
            <w:r>
              <w:rPr>
                <w:rFonts w:hint="eastAsia" w:hAnsi="宋体" w:cs="宋体"/>
                <w:color w:val="000000"/>
                <w:szCs w:val="24"/>
              </w:rPr>
              <w:t>身份证反面</w:t>
            </w:r>
          </w:p>
          <w:p>
            <w:pPr>
              <w:pStyle w:val="2"/>
              <w:spacing w:line="400" w:lineRule="exact"/>
              <w:rPr>
                <w:rFonts w:hAnsi="宋体" w:cs="宋体"/>
                <w:szCs w:val="24"/>
              </w:rPr>
            </w:pPr>
          </w:p>
        </w:tc>
      </w:tr>
    </w:tbl>
    <w:p>
      <w:pPr>
        <w:widowControl/>
        <w:jc w:val="left"/>
        <w:rPr>
          <w:color w:val="000000"/>
          <w:sz w:val="24"/>
        </w:rPr>
      </w:pPr>
    </w:p>
    <w:p>
      <w:pPr>
        <w:widowControl/>
        <w:jc w:val="left"/>
        <w:rPr>
          <w:color w:val="000000"/>
          <w:sz w:val="24"/>
        </w:rPr>
      </w:pPr>
    </w:p>
    <w:p>
      <w:pPr>
        <w:widowControl/>
        <w:jc w:val="left"/>
        <w:rPr>
          <w:color w:val="000000"/>
          <w:sz w:val="24"/>
        </w:rPr>
      </w:pPr>
    </w:p>
    <w:p>
      <w:pPr>
        <w:widowControl/>
        <w:jc w:val="left"/>
        <w:rPr>
          <w:color w:val="000000"/>
          <w:sz w:val="24"/>
        </w:rPr>
      </w:pPr>
    </w:p>
    <w:p>
      <w:pPr>
        <w:widowControl/>
        <w:jc w:val="left"/>
        <w:rPr>
          <w:color w:val="000000"/>
          <w:sz w:val="24"/>
        </w:rPr>
      </w:pPr>
      <w:r>
        <w:rPr>
          <w:rFonts w:hint="eastAsia"/>
          <w:color w:val="000000"/>
          <w:sz w:val="24"/>
        </w:rPr>
        <w:br w:type="page"/>
      </w:r>
      <w:r>
        <w:rPr>
          <w:rFonts w:hint="eastAsia"/>
          <w:color w:val="000000"/>
          <w:sz w:val="24"/>
        </w:rPr>
        <w:t>6  政府采购供应商信用承诺书</w:t>
      </w:r>
      <w:r>
        <w:rPr>
          <w:color w:val="000000"/>
          <w:sz w:val="24"/>
          <w:szCs w:val="20"/>
        </w:rPr>
        <w:t>（实质性格式）</w:t>
      </w:r>
    </w:p>
    <w:p>
      <w:pPr>
        <w:spacing w:line="560" w:lineRule="exact"/>
        <w:ind w:firstLine="321" w:firstLineChars="100"/>
        <w:jc w:val="center"/>
        <w:rPr>
          <w:rFonts w:ascii="黑体" w:hAnsi="黑体" w:eastAsia="黑体"/>
          <w:b/>
          <w:sz w:val="32"/>
          <w:szCs w:val="32"/>
        </w:rPr>
      </w:pPr>
    </w:p>
    <w:p>
      <w:pPr>
        <w:jc w:val="center"/>
        <w:rPr>
          <w:b/>
          <w:color w:val="000000"/>
          <w:sz w:val="36"/>
          <w:szCs w:val="36"/>
        </w:rPr>
      </w:pPr>
      <w:r>
        <w:rPr>
          <w:rFonts w:hint="eastAsia"/>
          <w:b/>
          <w:color w:val="000000"/>
          <w:sz w:val="36"/>
          <w:szCs w:val="36"/>
        </w:rPr>
        <w:t>政府采购供应商信用承诺书</w:t>
      </w:r>
    </w:p>
    <w:p>
      <w:pPr>
        <w:ind w:firstLine="640"/>
        <w:rPr>
          <w:snapToGrid w:val="0"/>
          <w:kern w:val="0"/>
        </w:rPr>
      </w:pPr>
    </w:p>
    <w:p>
      <w:pPr>
        <w:spacing w:line="276" w:lineRule="auto"/>
        <w:ind w:firstLine="480"/>
        <w:rPr>
          <w:rFonts w:ascii="宋体" w:hAnsi="宋体"/>
          <w:sz w:val="24"/>
        </w:rPr>
      </w:pPr>
      <w:r>
        <w:rPr>
          <w:rFonts w:hint="eastAsia" w:ascii="宋体" w:hAnsi="宋体"/>
          <w:sz w:val="24"/>
        </w:rPr>
        <w:t>为维护公开、公平、公正的政府采购市场秩序，树立诚实守信的供应商形象，本单位在参与政府采购活动中,自愿作出以下承诺：</w:t>
      </w:r>
    </w:p>
    <w:p>
      <w:pPr>
        <w:spacing w:line="276" w:lineRule="auto"/>
        <w:ind w:firstLine="480"/>
        <w:rPr>
          <w:rFonts w:ascii="宋体" w:hAnsi="宋体"/>
          <w:sz w:val="24"/>
        </w:rPr>
      </w:pPr>
      <w:r>
        <w:rPr>
          <w:rFonts w:hint="eastAsia" w:ascii="宋体" w:hAnsi="宋体"/>
          <w:sz w:val="24"/>
        </w:rPr>
        <w:t>一、严格遵守国家法律、法规和规章，全面履行应尽的责任和义务，全面做到履约守信，具备《政府采购法》第二十二条第一款规定的条件。</w:t>
      </w:r>
    </w:p>
    <w:p>
      <w:pPr>
        <w:spacing w:line="276" w:lineRule="auto"/>
        <w:ind w:firstLine="480"/>
        <w:rPr>
          <w:rFonts w:ascii="宋体" w:hAnsi="宋体"/>
          <w:sz w:val="24"/>
        </w:rPr>
      </w:pPr>
      <w:r>
        <w:rPr>
          <w:rFonts w:hint="eastAsia" w:ascii="宋体" w:hAnsi="宋体"/>
          <w:sz w:val="24"/>
        </w:rPr>
        <w:t>二、本单位已经阅读并充分理解《常州市政府采购供应商信用管理暂行办法》，自愿按照《常州市政府采购供应商信用管理暂行办法》规定，发生失信行为将记录并公开到“信用常州”、常州市政府采购网。</w:t>
      </w:r>
    </w:p>
    <w:p>
      <w:pPr>
        <w:spacing w:line="276" w:lineRule="auto"/>
        <w:ind w:firstLine="480"/>
        <w:rPr>
          <w:rFonts w:ascii="宋体" w:hAnsi="宋体"/>
          <w:sz w:val="24"/>
        </w:rPr>
      </w:pPr>
      <w:r>
        <w:rPr>
          <w:rFonts w:hint="eastAsia" w:ascii="宋体" w:hAnsi="宋体"/>
          <w:sz w:val="24"/>
        </w:rPr>
        <w:t>三、本单位提供给注册登记部门、行业管理部门、司法部门、行业组织以及在政府采购活动中提交的所有资料均合法、真实、有效，无任何伪造、修改、虚假成份，并对所提供资料的真实性负责。</w:t>
      </w:r>
    </w:p>
    <w:p>
      <w:pPr>
        <w:spacing w:line="276" w:lineRule="auto"/>
        <w:ind w:firstLine="480"/>
        <w:rPr>
          <w:rFonts w:ascii="宋体" w:hAnsi="宋体"/>
          <w:sz w:val="24"/>
        </w:rPr>
      </w:pPr>
      <w:r>
        <w:rPr>
          <w:rFonts w:hint="eastAsia" w:ascii="宋体" w:hAnsi="宋体"/>
          <w:sz w:val="24"/>
        </w:rPr>
        <w:t>四、严格依法开展生产经营活动，主动接受行业监管，自愿接受依法开展的日常检查；违法失信经营后将自愿接受约束和惩戒，并依法承担相应责任。</w:t>
      </w:r>
    </w:p>
    <w:p>
      <w:pPr>
        <w:spacing w:line="276" w:lineRule="auto"/>
        <w:ind w:firstLine="480"/>
        <w:rPr>
          <w:rFonts w:ascii="宋体" w:hAnsi="宋体"/>
          <w:sz w:val="24"/>
        </w:rPr>
      </w:pPr>
      <w:r>
        <w:rPr>
          <w:rFonts w:hint="eastAsia" w:ascii="宋体" w:hAnsi="宋体"/>
          <w:sz w:val="24"/>
        </w:rPr>
        <w:t xml:space="preserve">五、承诺本单位自觉接受行政管理部门、行业组织、社会公众、新闻舆论的监督。 </w:t>
      </w:r>
    </w:p>
    <w:p>
      <w:pPr>
        <w:spacing w:line="276" w:lineRule="auto"/>
        <w:ind w:firstLine="480"/>
        <w:rPr>
          <w:rFonts w:ascii="宋体" w:hAnsi="宋体"/>
          <w:sz w:val="24"/>
        </w:rPr>
      </w:pPr>
      <w:r>
        <w:rPr>
          <w:rFonts w:hint="eastAsia" w:ascii="宋体" w:hAnsi="宋体"/>
          <w:sz w:val="24"/>
        </w:rPr>
        <w:t xml:space="preserve">六、承诺本单位自我约束、自我管理，重合同、守信用，不制假售假、商标侵权、虚假宣传、违约毁约、恶意逃债、偷税漏税、价格欺诈、垄断和不正当竞争，维护经营者、消费者的合法权益。 </w:t>
      </w:r>
    </w:p>
    <w:p>
      <w:pPr>
        <w:spacing w:line="276" w:lineRule="auto"/>
        <w:ind w:firstLine="480"/>
        <w:rPr>
          <w:rFonts w:ascii="宋体" w:hAnsi="宋体"/>
          <w:sz w:val="24"/>
        </w:rPr>
      </w:pPr>
      <w:r>
        <w:rPr>
          <w:rFonts w:hint="eastAsia" w:ascii="宋体" w:hAnsi="宋体"/>
          <w:sz w:val="24"/>
        </w:rPr>
        <w:t xml:space="preserve">七、承诺本单位在信用中国（江苏）网站中无违法违规、较重或严重失信记录。 </w:t>
      </w:r>
    </w:p>
    <w:p>
      <w:pPr>
        <w:spacing w:line="276" w:lineRule="auto"/>
        <w:ind w:firstLine="480"/>
        <w:rPr>
          <w:rFonts w:ascii="宋体" w:hAnsi="宋体"/>
          <w:sz w:val="24"/>
        </w:rPr>
      </w:pPr>
      <w:r>
        <w:rPr>
          <w:rFonts w:hint="eastAsia" w:ascii="宋体" w:hAnsi="宋体"/>
          <w:sz w:val="24"/>
        </w:rPr>
        <w:t>八、承诺本单位提出政府采购质疑和投诉坚持依法依规、诚实信用原则。</w:t>
      </w:r>
    </w:p>
    <w:p>
      <w:pPr>
        <w:spacing w:line="276" w:lineRule="auto"/>
        <w:ind w:firstLine="480"/>
        <w:rPr>
          <w:rFonts w:ascii="宋体" w:hAnsi="宋体"/>
          <w:sz w:val="24"/>
        </w:rPr>
      </w:pPr>
      <w:r>
        <w:rPr>
          <w:rFonts w:hint="eastAsia" w:ascii="宋体" w:hAnsi="宋体"/>
          <w:sz w:val="24"/>
        </w:rPr>
        <w:t xml:space="preserve">九、根据政府采购相关法律法规的规定需要作出的其他承诺。 </w:t>
      </w:r>
    </w:p>
    <w:p>
      <w:pPr>
        <w:spacing w:line="276" w:lineRule="auto"/>
        <w:ind w:firstLine="480"/>
        <w:rPr>
          <w:rFonts w:ascii="宋体" w:hAnsi="宋体"/>
          <w:sz w:val="24"/>
        </w:rPr>
      </w:pPr>
      <w:r>
        <w:rPr>
          <w:rFonts w:hint="eastAsia" w:ascii="宋体" w:hAnsi="宋体"/>
          <w:sz w:val="24"/>
        </w:rPr>
        <w:t>十、承诺本单位若违背承诺约定，经查实，愿意接受行业主管部门和信用管理部门相应的规定处罚，承担违约责任，并依法承担相应的法律责任。</w:t>
      </w:r>
    </w:p>
    <w:p>
      <w:pPr>
        <w:spacing w:line="276" w:lineRule="auto"/>
        <w:ind w:firstLine="480"/>
        <w:rPr>
          <w:rFonts w:ascii="宋体" w:hAnsi="宋体"/>
          <w:sz w:val="24"/>
        </w:rPr>
      </w:pPr>
      <w:r>
        <w:rPr>
          <w:rFonts w:hint="eastAsia" w:ascii="宋体" w:hAnsi="宋体"/>
          <w:sz w:val="24"/>
        </w:rPr>
        <w:t>十一、承诺本单位同意将以上承诺事项上网公示，违背承诺约定行为将作为失信信息，记录到常州市公共信用信息系统，并予以公开。</w:t>
      </w:r>
    </w:p>
    <w:p>
      <w:pPr>
        <w:pStyle w:val="249"/>
        <w:spacing w:line="276" w:lineRule="auto"/>
        <w:ind w:right="1050" w:rightChars="500" w:firstLine="2880" w:firstLineChars="1200"/>
        <w:jc w:val="both"/>
        <w:rPr>
          <w:rFonts w:ascii="宋体" w:hAnsi="宋体" w:eastAsia="宋体"/>
          <w:sz w:val="24"/>
          <w:szCs w:val="22"/>
        </w:rPr>
      </w:pPr>
    </w:p>
    <w:p>
      <w:pPr>
        <w:autoSpaceDE w:val="0"/>
        <w:autoSpaceDN w:val="0"/>
        <w:adjustRightInd w:val="0"/>
        <w:snapToGrid w:val="0"/>
        <w:spacing w:before="25" w:after="25" w:line="360" w:lineRule="auto"/>
        <w:rPr>
          <w:color w:val="000000"/>
          <w:sz w:val="24"/>
          <w:lang w:val="zh-CN"/>
        </w:rPr>
      </w:pPr>
      <w:r>
        <w:rPr>
          <w:color w:val="000000"/>
          <w:sz w:val="24"/>
        </w:rPr>
        <w:t>供应商名称（加盖公章）</w:t>
      </w:r>
      <w:r>
        <w:rPr>
          <w:color w:val="000000"/>
          <w:sz w:val="24"/>
          <w:lang w:val="zh-CN"/>
        </w:rPr>
        <w:t>：____________</w:t>
      </w:r>
    </w:p>
    <w:p>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pPr>
        <w:spacing w:line="360" w:lineRule="auto"/>
        <w:outlineLvl w:val="2"/>
        <w:rPr>
          <w:color w:val="000000"/>
          <w:sz w:val="24"/>
          <w:szCs w:val="20"/>
        </w:rPr>
      </w:pPr>
      <w:r>
        <w:rPr>
          <w:color w:val="000000"/>
          <w:sz w:val="24"/>
          <w:szCs w:val="20"/>
        </w:rPr>
        <w:br w:type="page"/>
      </w:r>
    </w:p>
    <w:p>
      <w:pPr>
        <w:spacing w:line="360" w:lineRule="auto"/>
        <w:outlineLvl w:val="2"/>
        <w:rPr>
          <w:color w:val="000000"/>
          <w:sz w:val="24"/>
          <w:szCs w:val="20"/>
        </w:rPr>
      </w:pPr>
      <w:r>
        <w:rPr>
          <w:color w:val="000000"/>
          <w:sz w:val="24"/>
          <w:szCs w:val="20"/>
        </w:rPr>
        <w:t>7  报价一览表</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pPr>
        <w:jc w:val="center"/>
        <w:rPr>
          <w:b/>
          <w:color w:val="000000"/>
          <w:sz w:val="36"/>
          <w:szCs w:val="36"/>
        </w:rPr>
      </w:pPr>
      <w:bookmarkStart w:id="1159" w:name="_Toc226965831"/>
      <w:bookmarkStart w:id="1160" w:name="_Toc305158900"/>
      <w:bookmarkStart w:id="1161" w:name="_Toc226337254"/>
      <w:bookmarkStart w:id="1162" w:name="_Toc264969248"/>
      <w:bookmarkStart w:id="1163" w:name="_Toc305158826"/>
      <w:bookmarkStart w:id="1164" w:name="_Toc164608672"/>
      <w:bookmarkStart w:id="1165" w:name="_Toc195842923"/>
      <w:bookmarkStart w:id="1166" w:name="_Toc265228396"/>
      <w:bookmarkStart w:id="1167" w:name="_Toc226309802"/>
      <w:bookmarkStart w:id="1168" w:name="_Toc164608827"/>
      <w:bookmarkStart w:id="1169" w:name="_Toc226965748"/>
      <w:r>
        <w:rPr>
          <w:rFonts w:hint="eastAsia"/>
          <w:b/>
          <w:color w:val="000000"/>
          <w:sz w:val="36"/>
          <w:szCs w:val="36"/>
        </w:rPr>
        <w:t>报价一览表</w:t>
      </w:r>
      <w:bookmarkEnd w:id="1159"/>
      <w:bookmarkEnd w:id="1160"/>
      <w:bookmarkEnd w:id="1161"/>
      <w:bookmarkEnd w:id="1162"/>
      <w:bookmarkEnd w:id="1163"/>
      <w:bookmarkEnd w:id="1164"/>
      <w:bookmarkEnd w:id="1165"/>
      <w:bookmarkEnd w:id="1166"/>
      <w:bookmarkEnd w:id="1167"/>
      <w:bookmarkEnd w:id="1168"/>
      <w:bookmarkEnd w:id="1169"/>
    </w:p>
    <w:p>
      <w:pPr>
        <w:tabs>
          <w:tab w:val="left" w:pos="1800"/>
          <w:tab w:val="left" w:pos="5580"/>
        </w:tabs>
        <w:spacing w:line="360" w:lineRule="auto"/>
        <w:jc w:val="left"/>
        <w:rPr>
          <w:color w:val="000000"/>
          <w:sz w:val="24"/>
        </w:rPr>
      </w:pPr>
    </w:p>
    <w:p>
      <w:pPr>
        <w:snapToGrid w:val="0"/>
        <w:spacing w:line="400" w:lineRule="exact"/>
        <w:jc w:val="right"/>
        <w:rPr>
          <w:rFonts w:ascii="宋体" w:hAnsi="宋体" w:cs="宋体"/>
          <w:bCs/>
          <w:sz w:val="24"/>
        </w:rPr>
      </w:pPr>
      <w:r>
        <w:rPr>
          <w:rFonts w:hint="eastAsia" w:ascii="宋体" w:hAnsi="宋体" w:cs="宋体"/>
          <w:bCs/>
          <w:sz w:val="24"/>
        </w:rPr>
        <w:t xml:space="preserve"> 单位：人民币（元）</w:t>
      </w:r>
    </w:p>
    <w:tbl>
      <w:tblPr>
        <w:tblStyle w:val="43"/>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4006"/>
        <w:gridCol w:w="1730"/>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vAlign w:val="center"/>
          </w:tcPr>
          <w:p>
            <w:pPr>
              <w:snapToGrid w:val="0"/>
              <w:spacing w:line="400" w:lineRule="exact"/>
              <w:rPr>
                <w:rFonts w:ascii="宋体" w:hAnsi="宋体" w:cs="宋体"/>
                <w:bCs/>
                <w:sz w:val="24"/>
              </w:rPr>
            </w:pPr>
            <w:r>
              <w:rPr>
                <w:rFonts w:hint="eastAsia" w:ascii="宋体" w:hAnsi="宋体" w:cs="宋体"/>
                <w:bCs/>
                <w:sz w:val="24"/>
              </w:rPr>
              <w:t>项目编号</w:t>
            </w:r>
          </w:p>
        </w:tc>
        <w:tc>
          <w:tcPr>
            <w:tcW w:w="7214" w:type="dxa"/>
            <w:gridSpan w:val="3"/>
            <w:vAlign w:val="center"/>
          </w:tcPr>
          <w:p>
            <w:pPr>
              <w:snapToGrid w:val="0"/>
              <w:spacing w:line="400" w:lineRule="exact"/>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130" w:type="dxa"/>
            <w:vAlign w:val="center"/>
          </w:tcPr>
          <w:p>
            <w:pPr>
              <w:snapToGrid w:val="0"/>
              <w:spacing w:line="400" w:lineRule="exact"/>
              <w:rPr>
                <w:rFonts w:ascii="宋体" w:hAnsi="宋体" w:cs="宋体"/>
                <w:bCs/>
                <w:sz w:val="24"/>
              </w:rPr>
            </w:pPr>
            <w:r>
              <w:rPr>
                <w:rFonts w:hint="eastAsia" w:ascii="宋体" w:hAnsi="宋体" w:cs="宋体"/>
                <w:bCs/>
                <w:sz w:val="24"/>
              </w:rPr>
              <w:t>项目名称</w:t>
            </w:r>
          </w:p>
        </w:tc>
        <w:tc>
          <w:tcPr>
            <w:tcW w:w="7214" w:type="dxa"/>
            <w:gridSpan w:val="3"/>
            <w:vAlign w:val="center"/>
          </w:tcPr>
          <w:p>
            <w:pPr>
              <w:snapToGrid w:val="0"/>
              <w:spacing w:line="400" w:lineRule="exact"/>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130" w:type="dxa"/>
            <w:vAlign w:val="center"/>
          </w:tcPr>
          <w:p>
            <w:pPr>
              <w:snapToGrid w:val="0"/>
              <w:spacing w:line="400" w:lineRule="exact"/>
              <w:rPr>
                <w:rFonts w:ascii="宋体" w:hAnsi="宋体" w:cs="宋体"/>
                <w:bCs/>
                <w:sz w:val="24"/>
              </w:rPr>
            </w:pPr>
            <w:r>
              <w:rPr>
                <w:rFonts w:hint="eastAsia" w:ascii="宋体" w:hAnsi="宋体" w:cs="宋体"/>
                <w:bCs/>
                <w:sz w:val="24"/>
              </w:rPr>
              <w:t>总报价</w:t>
            </w:r>
          </w:p>
        </w:tc>
        <w:tc>
          <w:tcPr>
            <w:tcW w:w="4006" w:type="dxa"/>
            <w:vAlign w:val="center"/>
          </w:tcPr>
          <w:p>
            <w:pPr>
              <w:snapToGrid w:val="0"/>
              <w:spacing w:line="400" w:lineRule="exact"/>
              <w:rPr>
                <w:rFonts w:ascii="宋体" w:hAnsi="宋体" w:cs="宋体"/>
                <w:bCs/>
                <w:sz w:val="24"/>
              </w:rPr>
            </w:pPr>
            <w:r>
              <w:rPr>
                <w:rFonts w:hint="eastAsia" w:ascii="宋体" w:hAnsi="宋体" w:cs="宋体"/>
                <w:bCs/>
                <w:sz w:val="24"/>
              </w:rPr>
              <w:t>小写：</w:t>
            </w:r>
            <w:r>
              <w:rPr>
                <w:rFonts w:hint="eastAsia" w:ascii="宋体" w:hAnsi="宋体" w:cs="宋体"/>
                <w:bCs/>
                <w:sz w:val="24"/>
                <w:u w:val="single"/>
              </w:rPr>
              <w:t xml:space="preserve">                   </w:t>
            </w:r>
            <w:r>
              <w:rPr>
                <w:rFonts w:hint="eastAsia" w:ascii="宋体" w:hAnsi="宋体" w:cs="宋体"/>
                <w:bCs/>
                <w:sz w:val="24"/>
              </w:rPr>
              <w:t>元</w:t>
            </w:r>
          </w:p>
          <w:p>
            <w:pPr>
              <w:snapToGrid w:val="0"/>
              <w:spacing w:line="400" w:lineRule="exact"/>
              <w:rPr>
                <w:rFonts w:ascii="宋体" w:hAnsi="宋体" w:cs="宋体"/>
                <w:sz w:val="24"/>
              </w:rPr>
            </w:pPr>
            <w:r>
              <w:rPr>
                <w:rFonts w:hint="eastAsia" w:ascii="宋体" w:hAnsi="宋体" w:cs="宋体"/>
                <w:bCs/>
                <w:sz w:val="24"/>
              </w:rPr>
              <w:t>大写：</w:t>
            </w:r>
            <w:r>
              <w:rPr>
                <w:rFonts w:hint="eastAsia" w:ascii="宋体" w:hAnsi="宋体" w:cs="宋体"/>
                <w:bCs/>
                <w:sz w:val="24"/>
                <w:u w:val="single"/>
              </w:rPr>
              <w:t xml:space="preserve">                   </w:t>
            </w:r>
            <w:r>
              <w:rPr>
                <w:rFonts w:hint="eastAsia" w:ascii="宋体" w:hAnsi="宋体" w:cs="宋体"/>
                <w:bCs/>
                <w:sz w:val="24"/>
              </w:rPr>
              <w:t xml:space="preserve"> 元</w:t>
            </w:r>
          </w:p>
        </w:tc>
        <w:tc>
          <w:tcPr>
            <w:tcW w:w="1730" w:type="dxa"/>
            <w:vAlign w:val="center"/>
          </w:tcPr>
          <w:p>
            <w:pPr>
              <w:snapToGrid w:val="0"/>
              <w:spacing w:line="400" w:lineRule="exact"/>
              <w:rPr>
                <w:rFonts w:ascii="宋体" w:hAnsi="宋体" w:cs="宋体"/>
                <w:bCs/>
                <w:sz w:val="24"/>
              </w:rPr>
            </w:pPr>
            <w:r>
              <w:rPr>
                <w:rFonts w:hint="eastAsia" w:ascii="宋体" w:hAnsi="宋体" w:cs="宋体"/>
                <w:bCs/>
                <w:sz w:val="24"/>
              </w:rPr>
              <w:t>工期（日历天）</w:t>
            </w:r>
          </w:p>
        </w:tc>
        <w:tc>
          <w:tcPr>
            <w:tcW w:w="1478" w:type="dxa"/>
            <w:vAlign w:val="center"/>
          </w:tcPr>
          <w:p>
            <w:pPr>
              <w:snapToGrid w:val="0"/>
              <w:spacing w:line="400" w:lineRule="exact"/>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Align w:val="center"/>
          </w:tcPr>
          <w:p>
            <w:pPr>
              <w:snapToGrid w:val="0"/>
              <w:spacing w:line="400" w:lineRule="exact"/>
              <w:rPr>
                <w:rFonts w:ascii="宋体" w:hAnsi="宋体" w:cs="宋体"/>
                <w:bCs/>
                <w:sz w:val="24"/>
              </w:rPr>
            </w:pPr>
            <w:r>
              <w:rPr>
                <w:rFonts w:hint="eastAsia" w:ascii="宋体" w:hAnsi="宋体" w:cs="宋体"/>
                <w:bCs/>
                <w:sz w:val="24"/>
              </w:rPr>
              <w:t>质量标准</w:t>
            </w:r>
          </w:p>
        </w:tc>
        <w:tc>
          <w:tcPr>
            <w:tcW w:w="4006" w:type="dxa"/>
            <w:vAlign w:val="center"/>
          </w:tcPr>
          <w:p>
            <w:pPr>
              <w:snapToGrid w:val="0"/>
              <w:spacing w:line="400" w:lineRule="exact"/>
              <w:rPr>
                <w:rFonts w:ascii="宋体" w:hAnsi="宋体" w:cs="宋体"/>
                <w:bCs/>
                <w:sz w:val="24"/>
              </w:rPr>
            </w:pPr>
          </w:p>
        </w:tc>
        <w:tc>
          <w:tcPr>
            <w:tcW w:w="1730" w:type="dxa"/>
            <w:vAlign w:val="center"/>
          </w:tcPr>
          <w:p>
            <w:pPr>
              <w:snapToGrid w:val="0"/>
              <w:spacing w:line="400" w:lineRule="exact"/>
              <w:rPr>
                <w:rFonts w:ascii="宋体" w:hAnsi="宋体" w:cs="宋体"/>
                <w:bCs/>
                <w:sz w:val="24"/>
              </w:rPr>
            </w:pPr>
            <w:r>
              <w:rPr>
                <w:rFonts w:hint="eastAsia" w:ascii="宋体" w:hAnsi="宋体" w:cs="宋体"/>
                <w:bCs/>
                <w:sz w:val="24"/>
              </w:rPr>
              <w:t>项目负责人</w:t>
            </w:r>
          </w:p>
        </w:tc>
        <w:tc>
          <w:tcPr>
            <w:tcW w:w="1478" w:type="dxa"/>
            <w:vAlign w:val="center"/>
          </w:tcPr>
          <w:p>
            <w:pPr>
              <w:snapToGrid w:val="0"/>
              <w:spacing w:line="400" w:lineRule="exact"/>
              <w:rPr>
                <w:rFonts w:ascii="宋体" w:hAnsi="宋体" w:cs="宋体"/>
                <w:bCs/>
                <w:sz w:val="24"/>
              </w:rPr>
            </w:pPr>
          </w:p>
        </w:tc>
      </w:tr>
    </w:tbl>
    <w:p>
      <w:pPr>
        <w:snapToGrid w:val="0"/>
        <w:spacing w:line="400" w:lineRule="exact"/>
        <w:rPr>
          <w:rFonts w:ascii="宋体" w:hAnsi="宋体" w:cs="宋体"/>
          <w:bCs/>
          <w:sz w:val="24"/>
        </w:rPr>
      </w:pPr>
    </w:p>
    <w:p>
      <w:pPr>
        <w:snapToGrid w:val="0"/>
        <w:spacing w:line="400" w:lineRule="exact"/>
        <w:rPr>
          <w:rFonts w:ascii="宋体" w:hAnsi="宋体" w:cs="宋体"/>
          <w:bCs/>
          <w:sz w:val="24"/>
        </w:rPr>
      </w:pPr>
      <w:r>
        <w:rPr>
          <w:rFonts w:hint="eastAsia" w:ascii="宋体" w:hAnsi="宋体" w:cs="宋体"/>
          <w:bCs/>
          <w:sz w:val="24"/>
        </w:rPr>
        <w:t>响应人名称（公章）：</w:t>
      </w:r>
    </w:p>
    <w:p>
      <w:pPr>
        <w:snapToGrid w:val="0"/>
        <w:spacing w:line="400" w:lineRule="exact"/>
        <w:rPr>
          <w:rFonts w:ascii="宋体" w:hAnsi="宋体" w:cs="宋体"/>
          <w:bCs/>
          <w:sz w:val="24"/>
        </w:rPr>
      </w:pPr>
      <w:r>
        <w:rPr>
          <w:rFonts w:hint="eastAsia" w:ascii="宋体" w:hAnsi="宋体" w:cs="宋体"/>
          <w:bCs/>
          <w:sz w:val="24"/>
        </w:rPr>
        <w:t>法定代表人或代理人（签字或盖章）：_______________________</w:t>
      </w:r>
    </w:p>
    <w:p>
      <w:pPr>
        <w:snapToGrid w:val="0"/>
        <w:spacing w:line="400" w:lineRule="exact"/>
        <w:rPr>
          <w:rFonts w:ascii="宋体" w:hAnsi="宋体" w:cs="宋体"/>
          <w:bCs/>
          <w:sz w:val="24"/>
        </w:rPr>
      </w:pPr>
      <w:r>
        <w:rPr>
          <w:rFonts w:hint="eastAsia" w:ascii="宋体" w:hAnsi="宋体" w:cs="宋体"/>
          <w:bCs/>
          <w:sz w:val="24"/>
        </w:rPr>
        <w:t xml:space="preserve">日期：  年    月    日  </w:t>
      </w:r>
    </w:p>
    <w:p>
      <w:pPr>
        <w:snapToGrid w:val="0"/>
        <w:spacing w:line="400" w:lineRule="exact"/>
        <w:rPr>
          <w:rFonts w:ascii="宋体" w:hAnsi="宋体" w:cs="宋体"/>
          <w:bCs/>
          <w:sz w:val="24"/>
        </w:rPr>
      </w:pPr>
    </w:p>
    <w:p>
      <w:pPr>
        <w:snapToGrid w:val="0"/>
        <w:spacing w:line="400" w:lineRule="exact"/>
        <w:rPr>
          <w:rFonts w:ascii="宋体" w:hAnsi="宋体" w:cs="宋体"/>
          <w:bCs/>
          <w:sz w:val="24"/>
        </w:rPr>
      </w:pPr>
    </w:p>
    <w:p>
      <w:pPr>
        <w:autoSpaceDE w:val="0"/>
        <w:autoSpaceDN w:val="0"/>
        <w:adjustRightInd w:val="0"/>
        <w:snapToGrid w:val="0"/>
        <w:spacing w:before="25" w:after="25" w:line="360" w:lineRule="auto"/>
        <w:rPr>
          <w:color w:val="000000"/>
          <w:sz w:val="24"/>
          <w:lang w:val="zh-CN"/>
        </w:rPr>
      </w:pPr>
      <w:r>
        <w:rPr>
          <w:rFonts w:hint="eastAsia" w:ascii="宋体" w:hAnsi="宋体" w:cs="宋体"/>
          <w:bCs/>
          <w:sz w:val="24"/>
        </w:rPr>
        <w:t>声明：1.报价一览表中的“总报价”是投标货物及相关服务的全部费用的报价。</w:t>
      </w:r>
      <w:r>
        <w:rPr>
          <w:color w:val="000000"/>
          <w:sz w:val="24"/>
        </w:rPr>
        <w:t xml:space="preserve"> </w:t>
      </w:r>
      <w:r>
        <w:rPr>
          <w:color w:val="000000"/>
          <w:sz w:val="24"/>
          <w:szCs w:val="20"/>
        </w:rPr>
        <w:t xml:space="preserve">  </w:t>
      </w:r>
    </w:p>
    <w:p>
      <w:pPr>
        <w:widowControl/>
        <w:jc w:val="left"/>
        <w:rPr>
          <w:color w:val="000000"/>
          <w:sz w:val="24"/>
          <w:szCs w:val="20"/>
        </w:rPr>
      </w:pPr>
      <w:bookmarkStart w:id="1170" w:name="_Toc226965749"/>
      <w:bookmarkStart w:id="1171" w:name="_Toc226965832"/>
      <w:bookmarkStart w:id="1172" w:name="_Toc127151558"/>
      <w:bookmarkStart w:id="1173" w:name="_Toc150480796"/>
      <w:bookmarkStart w:id="1174" w:name="_Toc226337255"/>
      <w:bookmarkStart w:id="1175" w:name="_Toc305158827"/>
      <w:bookmarkStart w:id="1176" w:name="_Toc195842924"/>
      <w:bookmarkStart w:id="1177" w:name="_Toc305158901"/>
      <w:bookmarkStart w:id="1178" w:name="_Toc142311060"/>
      <w:bookmarkStart w:id="1179" w:name="_Toc150774763"/>
      <w:bookmarkStart w:id="1180" w:name="_Toc265228397"/>
      <w:bookmarkStart w:id="1181" w:name="_Toc226309803"/>
      <w:bookmarkStart w:id="1182" w:name="_Toc264969249"/>
      <w:r>
        <w:rPr>
          <w:color w:val="000000"/>
          <w:sz w:val="24"/>
          <w:szCs w:val="20"/>
        </w:rPr>
        <w:br w:type="page"/>
      </w:r>
    </w:p>
    <w:p>
      <w:pPr>
        <w:spacing w:line="360" w:lineRule="auto"/>
        <w:outlineLvl w:val="2"/>
        <w:rPr>
          <w:color w:val="000000"/>
          <w:sz w:val="24"/>
          <w:szCs w:val="20"/>
        </w:rPr>
      </w:pPr>
      <w:r>
        <w:rPr>
          <w:color w:val="000000"/>
          <w:sz w:val="24"/>
          <w:szCs w:val="20"/>
        </w:rPr>
        <w:t>8  分项报价表</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r>
        <w:rPr>
          <w:b/>
          <w:color w:val="000000"/>
        </w:rPr>
        <w:t>（实质性格式）</w:t>
      </w:r>
    </w:p>
    <w:p>
      <w:pPr>
        <w:spacing w:line="360" w:lineRule="exact"/>
        <w:jc w:val="center"/>
        <w:rPr>
          <w:color w:val="000000"/>
          <w:sz w:val="36"/>
          <w:szCs w:val="36"/>
        </w:rPr>
      </w:pPr>
    </w:p>
    <w:p>
      <w:pPr>
        <w:jc w:val="center"/>
        <w:rPr>
          <w:b/>
          <w:color w:val="000000"/>
          <w:sz w:val="36"/>
          <w:szCs w:val="36"/>
        </w:rPr>
      </w:pPr>
      <w:r>
        <w:rPr>
          <w:rFonts w:hint="eastAsia"/>
          <w:b/>
          <w:color w:val="000000"/>
          <w:sz w:val="36"/>
          <w:szCs w:val="36"/>
        </w:rPr>
        <w:t>分项报价表（具体格式详见清单）</w:t>
      </w:r>
    </w:p>
    <w:p>
      <w:pPr>
        <w:spacing w:line="360" w:lineRule="auto"/>
        <w:outlineLvl w:val="2"/>
        <w:rPr>
          <w:color w:val="000000"/>
          <w:sz w:val="24"/>
          <w:szCs w:val="20"/>
        </w:rPr>
      </w:pPr>
      <w:bookmarkStart w:id="1183" w:name="_Toc226965835"/>
      <w:bookmarkStart w:id="1184" w:name="_Toc305158830"/>
      <w:bookmarkStart w:id="1185" w:name="_Toc195842927"/>
      <w:bookmarkStart w:id="1186" w:name="_Toc150480798"/>
      <w:bookmarkStart w:id="1187" w:name="_Toc265228400"/>
      <w:bookmarkStart w:id="1188" w:name="_Toc150774765"/>
      <w:bookmarkStart w:id="1189" w:name="_Toc226337258"/>
      <w:bookmarkStart w:id="1190" w:name="_Toc226965752"/>
      <w:bookmarkStart w:id="1191" w:name="_Toc264969252"/>
      <w:bookmarkStart w:id="1192" w:name="_Toc127151562"/>
      <w:bookmarkStart w:id="1193" w:name="_Toc305158904"/>
      <w:bookmarkStart w:id="1194" w:name="_Toc142311062"/>
      <w:bookmarkStart w:id="1195" w:name="_Toc226309806"/>
      <w:bookmarkStart w:id="1196" w:name="_Toc195842926"/>
      <w:bookmarkStart w:id="1197" w:name="_Toc226965834"/>
      <w:bookmarkStart w:id="1198" w:name="_Toc305158903"/>
      <w:bookmarkStart w:id="1199" w:name="_Toc265228399"/>
      <w:bookmarkStart w:id="1200" w:name="_Toc127151561"/>
      <w:bookmarkStart w:id="1201" w:name="_Toc226337257"/>
      <w:bookmarkStart w:id="1202" w:name="_Toc305158829"/>
      <w:bookmarkStart w:id="1203" w:name="_Toc264969251"/>
      <w:bookmarkStart w:id="1204" w:name="_Toc142311061"/>
      <w:bookmarkStart w:id="1205" w:name="_Toc226965751"/>
      <w:bookmarkStart w:id="1206" w:name="_Toc150774764"/>
      <w:bookmarkStart w:id="1207" w:name="_Toc226309805"/>
      <w:bookmarkStart w:id="1208" w:name="_Toc150480797"/>
      <w:r>
        <w:rPr>
          <w:color w:val="000000"/>
          <w:sz w:val="24"/>
          <w:szCs w:val="20"/>
        </w:rPr>
        <w:br w:type="page"/>
      </w:r>
      <w:r>
        <w:rPr>
          <w:color w:val="000000"/>
          <w:sz w:val="24"/>
          <w:szCs w:val="20"/>
        </w:rPr>
        <w:t>9  合同条款偏离表</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pPr>
        <w:spacing w:line="360" w:lineRule="auto"/>
        <w:rPr>
          <w:color w:val="000000"/>
          <w:sz w:val="24"/>
          <w:szCs w:val="20"/>
        </w:rPr>
      </w:pPr>
    </w:p>
    <w:p>
      <w:pPr>
        <w:jc w:val="center"/>
        <w:rPr>
          <w:b/>
          <w:color w:val="000000"/>
          <w:sz w:val="36"/>
          <w:szCs w:val="36"/>
        </w:rPr>
      </w:pPr>
      <w:r>
        <w:rPr>
          <w:rFonts w:hint="eastAsia"/>
          <w:b/>
          <w:color w:val="000000"/>
          <w:sz w:val="36"/>
          <w:szCs w:val="36"/>
        </w:rPr>
        <w:t>合同条款偏离表</w:t>
      </w:r>
    </w:p>
    <w:p>
      <w:pPr>
        <w:jc w:val="center"/>
        <w:rPr>
          <w:color w:val="000000"/>
          <w:sz w:val="36"/>
          <w:szCs w:val="36"/>
        </w:rPr>
      </w:pPr>
    </w:p>
    <w:p>
      <w:pPr>
        <w:spacing w:line="360" w:lineRule="auto"/>
        <w:rPr>
          <w:color w:val="000000"/>
          <w:sz w:val="24"/>
          <w:szCs w:val="20"/>
        </w:rPr>
      </w:pPr>
    </w:p>
    <w:p>
      <w:pPr>
        <w:tabs>
          <w:tab w:val="left" w:pos="1800"/>
          <w:tab w:val="left" w:pos="5580"/>
        </w:tabs>
        <w:spacing w:line="360" w:lineRule="auto"/>
        <w:ind w:firstLine="360" w:firstLineChars="150"/>
        <w:jc w:val="left"/>
        <w:rPr>
          <w:color w:val="000000"/>
          <w:sz w:val="24"/>
        </w:rPr>
      </w:pPr>
      <w:r>
        <w:rPr>
          <w:color w:val="000000"/>
          <w:sz w:val="24"/>
        </w:rPr>
        <w:t>项目编号/包号：_______________     项目名称：_____________________</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909"/>
        <w:gridCol w:w="2060"/>
        <w:gridCol w:w="1800"/>
        <w:gridCol w:w="1909"/>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gridSpan w:val="6"/>
            <w:vAlign w:val="center"/>
          </w:tcPr>
          <w:p>
            <w:pPr>
              <w:adjustRightInd w:val="0"/>
              <w:snapToGrid w:val="0"/>
              <w:jc w:val="left"/>
              <w:rPr>
                <w:b/>
                <w:color w:val="000000"/>
                <w:sz w:val="24"/>
              </w:rPr>
            </w:pPr>
            <w:r>
              <w:rPr>
                <w:rFonts w:hint="eastAsia"/>
                <w:b/>
                <w:color w:val="000000"/>
                <w:sz w:val="24"/>
              </w:rPr>
              <w:t>对本项目合同条款的偏离情况（请进行勾选）：</w:t>
            </w:r>
          </w:p>
          <w:p>
            <w:pPr>
              <w:adjustRightInd w:val="0"/>
              <w:snapToGrid w:val="0"/>
              <w:jc w:val="left"/>
              <w:rPr>
                <w:b/>
                <w:color w:val="000000"/>
                <w:sz w:val="24"/>
              </w:rPr>
            </w:pPr>
            <w:r>
              <w:rPr>
                <w:b/>
                <w:color w:val="000000"/>
                <w:sz w:val="24"/>
              </w:rPr>
              <w:t>□无偏离</w:t>
            </w:r>
            <w:r>
              <w:rPr>
                <w:color w:val="000000"/>
                <w:sz w:val="24"/>
              </w:rPr>
              <w:t>（</w:t>
            </w:r>
            <w:r>
              <w:rPr>
                <w:color w:val="000000"/>
                <w:sz w:val="24"/>
                <w:szCs w:val="21"/>
              </w:rPr>
              <w:t>如无偏离，仅勾选无偏离即可</w:t>
            </w:r>
            <w:r>
              <w:rPr>
                <w:color w:val="000000"/>
                <w:sz w:val="24"/>
              </w:rPr>
              <w:t>）</w:t>
            </w:r>
          </w:p>
          <w:p>
            <w:pPr>
              <w:adjustRightInd w:val="0"/>
              <w:snapToGrid w:val="0"/>
              <w:jc w:val="left"/>
              <w:rPr>
                <w:color w:val="000000"/>
                <w:sz w:val="24"/>
              </w:rPr>
            </w:pPr>
            <w:r>
              <w:rPr>
                <w:b/>
                <w:color w:val="000000"/>
                <w:sz w:val="24"/>
              </w:rPr>
              <w:t>□有偏离</w:t>
            </w:r>
            <w:r>
              <w:rPr>
                <w:color w:val="000000"/>
                <w:sz w:val="24"/>
              </w:rPr>
              <w:t>（</w:t>
            </w:r>
            <w:r>
              <w:rPr>
                <w:color w:val="000000"/>
                <w:sz w:val="24"/>
                <w:szCs w:val="21"/>
              </w:rPr>
              <w:t>如有负偏离，</w:t>
            </w:r>
            <w:r>
              <w:rPr>
                <w:color w:val="000000"/>
                <w:sz w:val="24"/>
              </w:rPr>
              <w:t>则须在本表中对负偏离项逐一列明）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vAlign w:val="center"/>
          </w:tcPr>
          <w:p>
            <w:pPr>
              <w:adjustRightInd w:val="0"/>
              <w:snapToGrid w:val="0"/>
              <w:jc w:val="center"/>
              <w:rPr>
                <w:color w:val="000000"/>
                <w:sz w:val="24"/>
              </w:rPr>
            </w:pPr>
            <w:r>
              <w:rPr>
                <w:color w:val="000000"/>
                <w:sz w:val="24"/>
              </w:rPr>
              <w:t>序号</w:t>
            </w:r>
          </w:p>
        </w:tc>
        <w:tc>
          <w:tcPr>
            <w:tcW w:w="1909" w:type="dxa"/>
            <w:vAlign w:val="center"/>
          </w:tcPr>
          <w:p>
            <w:pPr>
              <w:adjustRightInd w:val="0"/>
              <w:snapToGrid w:val="0"/>
              <w:jc w:val="center"/>
              <w:rPr>
                <w:color w:val="000000"/>
                <w:sz w:val="24"/>
              </w:rPr>
            </w:pPr>
            <w:r>
              <w:rPr>
                <w:color w:val="000000"/>
                <w:sz w:val="24"/>
                <w:szCs w:val="21"/>
              </w:rPr>
              <w:t>谈判文件</w:t>
            </w:r>
            <w:r>
              <w:rPr>
                <w:color w:val="000000"/>
                <w:sz w:val="24"/>
              </w:rPr>
              <w:t>条目号（页码）</w:t>
            </w:r>
          </w:p>
        </w:tc>
        <w:tc>
          <w:tcPr>
            <w:tcW w:w="2060" w:type="dxa"/>
            <w:vAlign w:val="center"/>
          </w:tcPr>
          <w:p>
            <w:pPr>
              <w:adjustRightInd w:val="0"/>
              <w:snapToGrid w:val="0"/>
              <w:jc w:val="center"/>
              <w:rPr>
                <w:color w:val="000000"/>
                <w:sz w:val="24"/>
              </w:rPr>
            </w:pPr>
            <w:r>
              <w:rPr>
                <w:color w:val="000000"/>
                <w:sz w:val="24"/>
                <w:szCs w:val="21"/>
              </w:rPr>
              <w:t>谈判文件</w:t>
            </w:r>
            <w:r>
              <w:rPr>
                <w:color w:val="000000"/>
                <w:sz w:val="24"/>
              </w:rPr>
              <w:t>要求</w:t>
            </w:r>
          </w:p>
        </w:tc>
        <w:tc>
          <w:tcPr>
            <w:tcW w:w="1800" w:type="dxa"/>
            <w:vAlign w:val="center"/>
          </w:tcPr>
          <w:p>
            <w:pPr>
              <w:adjustRightInd w:val="0"/>
              <w:snapToGrid w:val="0"/>
              <w:jc w:val="center"/>
              <w:rPr>
                <w:color w:val="000000"/>
                <w:sz w:val="24"/>
              </w:rPr>
            </w:pPr>
            <w:r>
              <w:rPr>
                <w:color w:val="000000"/>
                <w:sz w:val="24"/>
              </w:rPr>
              <w:t>响应文件内容</w:t>
            </w:r>
          </w:p>
        </w:tc>
        <w:tc>
          <w:tcPr>
            <w:tcW w:w="1909" w:type="dxa"/>
            <w:vAlign w:val="center"/>
          </w:tcPr>
          <w:p>
            <w:pPr>
              <w:adjustRightInd w:val="0"/>
              <w:snapToGrid w:val="0"/>
              <w:jc w:val="center"/>
              <w:rPr>
                <w:color w:val="000000"/>
                <w:sz w:val="24"/>
              </w:rPr>
            </w:pPr>
            <w:r>
              <w:rPr>
                <w:color w:val="000000"/>
                <w:sz w:val="24"/>
              </w:rPr>
              <w:t>偏离情况</w:t>
            </w:r>
          </w:p>
          <w:p>
            <w:pPr>
              <w:adjustRightInd w:val="0"/>
              <w:snapToGrid w:val="0"/>
              <w:jc w:val="center"/>
              <w:rPr>
                <w:color w:val="000000"/>
                <w:sz w:val="24"/>
              </w:rPr>
            </w:pPr>
            <w:r>
              <w:rPr>
                <w:color w:val="000000"/>
                <w:sz w:val="24"/>
              </w:rPr>
              <w:t>（据实填写）</w:t>
            </w:r>
          </w:p>
        </w:tc>
        <w:tc>
          <w:tcPr>
            <w:tcW w:w="783" w:type="dxa"/>
            <w:vAlign w:val="center"/>
          </w:tcPr>
          <w:p>
            <w:pPr>
              <w:adjustRightInd w:val="0"/>
              <w:snapToGrid w:val="0"/>
              <w:jc w:val="center"/>
              <w:rPr>
                <w:color w:val="000000"/>
                <w:sz w:val="24"/>
              </w:rPr>
            </w:pPr>
            <w:r>
              <w:rPr>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2060" w:type="dxa"/>
            <w:vAlign w:val="center"/>
          </w:tcPr>
          <w:p>
            <w:pPr>
              <w:adjustRightInd w:val="0"/>
              <w:snapToGrid w:val="0"/>
              <w:jc w:val="center"/>
              <w:rPr>
                <w:color w:val="000000"/>
                <w:sz w:val="24"/>
              </w:rPr>
            </w:pPr>
          </w:p>
        </w:tc>
        <w:tc>
          <w:tcPr>
            <w:tcW w:w="1800"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783"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2060" w:type="dxa"/>
            <w:vAlign w:val="center"/>
          </w:tcPr>
          <w:p>
            <w:pPr>
              <w:adjustRightInd w:val="0"/>
              <w:snapToGrid w:val="0"/>
              <w:jc w:val="center"/>
              <w:rPr>
                <w:color w:val="000000"/>
                <w:sz w:val="24"/>
              </w:rPr>
            </w:pPr>
          </w:p>
        </w:tc>
        <w:tc>
          <w:tcPr>
            <w:tcW w:w="1800"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783"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2060" w:type="dxa"/>
            <w:vAlign w:val="center"/>
          </w:tcPr>
          <w:p>
            <w:pPr>
              <w:adjustRightInd w:val="0"/>
              <w:snapToGrid w:val="0"/>
              <w:jc w:val="center"/>
              <w:rPr>
                <w:color w:val="000000"/>
                <w:sz w:val="24"/>
              </w:rPr>
            </w:pPr>
          </w:p>
        </w:tc>
        <w:tc>
          <w:tcPr>
            <w:tcW w:w="1800"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783"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2060" w:type="dxa"/>
            <w:vAlign w:val="center"/>
          </w:tcPr>
          <w:p>
            <w:pPr>
              <w:adjustRightInd w:val="0"/>
              <w:snapToGrid w:val="0"/>
              <w:jc w:val="center"/>
              <w:rPr>
                <w:color w:val="000000"/>
                <w:sz w:val="24"/>
              </w:rPr>
            </w:pPr>
          </w:p>
        </w:tc>
        <w:tc>
          <w:tcPr>
            <w:tcW w:w="1800" w:type="dxa"/>
            <w:vAlign w:val="center"/>
          </w:tcPr>
          <w:p>
            <w:pPr>
              <w:adjustRightInd w:val="0"/>
              <w:snapToGrid w:val="0"/>
              <w:jc w:val="center"/>
              <w:rPr>
                <w:color w:val="000000"/>
                <w:sz w:val="24"/>
              </w:rPr>
            </w:pPr>
          </w:p>
        </w:tc>
        <w:tc>
          <w:tcPr>
            <w:tcW w:w="1909" w:type="dxa"/>
            <w:vAlign w:val="center"/>
          </w:tcPr>
          <w:p>
            <w:pPr>
              <w:adjustRightInd w:val="0"/>
              <w:snapToGrid w:val="0"/>
              <w:jc w:val="center"/>
              <w:rPr>
                <w:color w:val="000000"/>
                <w:sz w:val="24"/>
              </w:rPr>
            </w:pPr>
          </w:p>
        </w:tc>
        <w:tc>
          <w:tcPr>
            <w:tcW w:w="783" w:type="dxa"/>
            <w:vAlign w:val="center"/>
          </w:tcPr>
          <w:p>
            <w:pPr>
              <w:adjustRightInd w:val="0"/>
              <w:snapToGrid w:val="0"/>
              <w:jc w:val="center"/>
              <w:rPr>
                <w:color w:val="000000"/>
                <w:sz w:val="24"/>
              </w:rPr>
            </w:pPr>
          </w:p>
        </w:tc>
      </w:tr>
    </w:tbl>
    <w:p>
      <w:pPr>
        <w:tabs>
          <w:tab w:val="left" w:pos="1800"/>
          <w:tab w:val="left" w:pos="5580"/>
        </w:tabs>
        <w:jc w:val="left"/>
        <w:rPr>
          <w:color w:val="000000"/>
          <w:sz w:val="24"/>
        </w:rPr>
      </w:pPr>
    </w:p>
    <w:p>
      <w:pPr>
        <w:tabs>
          <w:tab w:val="left" w:pos="1800"/>
          <w:tab w:val="left" w:pos="5580"/>
        </w:tabs>
        <w:jc w:val="left"/>
        <w:rPr>
          <w:color w:val="000000"/>
          <w:sz w:val="24"/>
        </w:rPr>
      </w:pPr>
      <w:r>
        <w:rPr>
          <w:rFonts w:hint="eastAsia"/>
          <w:color w:val="000000"/>
          <w:sz w:val="24"/>
        </w:rPr>
        <w:t>注：</w:t>
      </w:r>
    </w:p>
    <w:p>
      <w:pPr>
        <w:tabs>
          <w:tab w:val="left" w:pos="1800"/>
          <w:tab w:val="left" w:pos="5580"/>
        </w:tabs>
        <w:jc w:val="left"/>
        <w:rPr>
          <w:sz w:val="24"/>
        </w:rPr>
      </w:pPr>
      <w:r>
        <w:rPr>
          <w:color w:val="000000"/>
          <w:sz w:val="24"/>
        </w:rPr>
        <w:t xml:space="preserve">1. </w:t>
      </w:r>
      <w:r>
        <w:rPr>
          <w:rFonts w:hint="eastAsia"/>
          <w:sz w:val="24"/>
        </w:rPr>
        <w:t>对合同条款中的所有要求，除本表所列明的所有偏离外，均视作供应商已对之理解和响应。</w:t>
      </w:r>
    </w:p>
    <w:p>
      <w:pPr>
        <w:tabs>
          <w:tab w:val="left" w:pos="1800"/>
          <w:tab w:val="left" w:pos="5580"/>
        </w:tabs>
        <w:jc w:val="left"/>
        <w:rPr>
          <w:color w:val="000000"/>
          <w:sz w:val="24"/>
        </w:rPr>
      </w:pPr>
      <w:r>
        <w:rPr>
          <w:sz w:val="24"/>
        </w:rPr>
        <w:t xml:space="preserve">2. </w:t>
      </w:r>
      <w:r>
        <w:rPr>
          <w:rFonts w:hint="eastAsia"/>
          <w:sz w:val="24"/>
        </w:rPr>
        <w:t>“偏离情况”列应</w:t>
      </w:r>
      <w:r>
        <w:rPr>
          <w:rFonts w:hint="eastAsia"/>
          <w:color w:val="000000"/>
          <w:sz w:val="24"/>
        </w:rPr>
        <w:t>据实</w:t>
      </w:r>
      <w:r>
        <w:rPr>
          <w:rFonts w:hint="eastAsia"/>
          <w:sz w:val="24"/>
        </w:rPr>
        <w:t>填写“正偏离”或“负偏离”。</w:t>
      </w:r>
    </w:p>
    <w:p>
      <w:pPr>
        <w:spacing w:line="360" w:lineRule="auto"/>
        <w:rPr>
          <w:color w:val="000000"/>
          <w:sz w:val="24"/>
          <w:szCs w:val="20"/>
        </w:rPr>
      </w:pPr>
    </w:p>
    <w:p>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pPr>
        <w:autoSpaceDE w:val="0"/>
        <w:autoSpaceDN w:val="0"/>
        <w:adjustRightInd w:val="0"/>
        <w:snapToGrid w:val="0"/>
        <w:spacing w:before="25" w:after="25" w:line="360" w:lineRule="auto"/>
        <w:rPr>
          <w:color w:val="000000"/>
          <w:sz w:val="24"/>
          <w:lang w:val="zh-CN"/>
        </w:rPr>
      </w:pPr>
      <w:r>
        <w:rPr>
          <w:color w:val="000000"/>
          <w:sz w:val="24"/>
        </w:rPr>
        <w:t>供应商名称（加盖公章）</w:t>
      </w:r>
      <w:r>
        <w:rPr>
          <w:color w:val="000000"/>
          <w:sz w:val="24"/>
          <w:lang w:val="zh-CN"/>
        </w:rPr>
        <w:t>：    ____________</w:t>
      </w:r>
    </w:p>
    <w:p>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pPr>
        <w:spacing w:line="360" w:lineRule="auto"/>
        <w:outlineLvl w:val="2"/>
        <w:rPr>
          <w:color w:val="000000"/>
          <w:sz w:val="24"/>
          <w:szCs w:val="20"/>
        </w:rPr>
      </w:pPr>
      <w:r>
        <w:rPr>
          <w:color w:val="000000"/>
          <w:sz w:val="24"/>
          <w:szCs w:val="20"/>
        </w:rPr>
        <w:br w:type="page"/>
      </w:r>
    </w:p>
    <w:p>
      <w:pPr>
        <w:spacing w:line="360" w:lineRule="auto"/>
        <w:outlineLvl w:val="2"/>
        <w:rPr>
          <w:color w:val="000000"/>
          <w:sz w:val="24"/>
          <w:szCs w:val="20"/>
        </w:rPr>
      </w:pPr>
      <w:r>
        <w:rPr>
          <w:color w:val="000000"/>
          <w:sz w:val="24"/>
          <w:szCs w:val="20"/>
        </w:rPr>
        <w:t xml:space="preserve">10  </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r>
        <w:rPr>
          <w:color w:val="000000"/>
          <w:sz w:val="24"/>
          <w:szCs w:val="20"/>
        </w:rPr>
        <w:t>采购需求偏离表</w:t>
      </w:r>
    </w:p>
    <w:p>
      <w:pPr>
        <w:jc w:val="center"/>
        <w:rPr>
          <w:b/>
          <w:color w:val="000000"/>
          <w:sz w:val="36"/>
          <w:szCs w:val="36"/>
        </w:rPr>
      </w:pPr>
      <w:r>
        <w:rPr>
          <w:rFonts w:hint="eastAsia"/>
          <w:b/>
          <w:color w:val="000000"/>
          <w:sz w:val="36"/>
          <w:szCs w:val="36"/>
        </w:rPr>
        <w:t>采购需求偏离表</w:t>
      </w:r>
    </w:p>
    <w:p>
      <w:pPr>
        <w:jc w:val="center"/>
        <w:rPr>
          <w:color w:val="000000"/>
          <w:sz w:val="36"/>
          <w:szCs w:val="36"/>
        </w:rPr>
      </w:pPr>
    </w:p>
    <w:p>
      <w:pPr>
        <w:tabs>
          <w:tab w:val="left" w:pos="1800"/>
          <w:tab w:val="left" w:pos="5580"/>
        </w:tabs>
        <w:spacing w:line="360" w:lineRule="auto"/>
        <w:ind w:firstLine="360" w:firstLineChars="150"/>
        <w:jc w:val="left"/>
        <w:rPr>
          <w:color w:val="000000"/>
          <w:sz w:val="24"/>
          <w:u w:val="single"/>
        </w:rPr>
      </w:pPr>
      <w:r>
        <w:rPr>
          <w:color w:val="000000"/>
          <w:sz w:val="24"/>
        </w:rPr>
        <w:t>项目编号/包号：_____________________     项目名称：_______________________</w:t>
      </w:r>
    </w:p>
    <w:tbl>
      <w:tblPr>
        <w:tblStyle w:val="43"/>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143"/>
        <w:gridCol w:w="1723"/>
        <w:gridCol w:w="2126"/>
        <w:gridCol w:w="1875"/>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75" w:type="dxa"/>
            <w:vAlign w:val="center"/>
          </w:tcPr>
          <w:p>
            <w:pPr>
              <w:adjustRightInd w:val="0"/>
              <w:snapToGrid w:val="0"/>
              <w:jc w:val="center"/>
              <w:rPr>
                <w:color w:val="000000"/>
                <w:sz w:val="24"/>
              </w:rPr>
            </w:pPr>
            <w:r>
              <w:rPr>
                <w:color w:val="000000"/>
                <w:sz w:val="24"/>
              </w:rPr>
              <w:t>序号</w:t>
            </w:r>
          </w:p>
        </w:tc>
        <w:tc>
          <w:tcPr>
            <w:tcW w:w="2143" w:type="dxa"/>
            <w:vAlign w:val="center"/>
          </w:tcPr>
          <w:p>
            <w:pPr>
              <w:adjustRightInd w:val="0"/>
              <w:snapToGrid w:val="0"/>
              <w:jc w:val="center"/>
              <w:rPr>
                <w:color w:val="000000"/>
                <w:sz w:val="24"/>
              </w:rPr>
            </w:pPr>
            <w:r>
              <w:rPr>
                <w:color w:val="000000"/>
                <w:sz w:val="24"/>
              </w:rPr>
              <w:t>谈判文件条目号(页码)</w:t>
            </w:r>
          </w:p>
        </w:tc>
        <w:tc>
          <w:tcPr>
            <w:tcW w:w="1723" w:type="dxa"/>
            <w:vAlign w:val="center"/>
          </w:tcPr>
          <w:p>
            <w:pPr>
              <w:adjustRightInd w:val="0"/>
              <w:snapToGrid w:val="0"/>
              <w:jc w:val="center"/>
              <w:rPr>
                <w:color w:val="000000"/>
                <w:sz w:val="24"/>
              </w:rPr>
            </w:pPr>
            <w:r>
              <w:rPr>
                <w:color w:val="000000"/>
                <w:sz w:val="24"/>
              </w:rPr>
              <w:t>谈判文件要求</w:t>
            </w:r>
          </w:p>
        </w:tc>
        <w:tc>
          <w:tcPr>
            <w:tcW w:w="2126" w:type="dxa"/>
            <w:vAlign w:val="center"/>
          </w:tcPr>
          <w:p>
            <w:pPr>
              <w:adjustRightInd w:val="0"/>
              <w:snapToGrid w:val="0"/>
              <w:jc w:val="center"/>
              <w:rPr>
                <w:color w:val="000000"/>
                <w:sz w:val="24"/>
              </w:rPr>
            </w:pPr>
            <w:r>
              <w:rPr>
                <w:color w:val="000000"/>
                <w:sz w:val="24"/>
              </w:rPr>
              <w:t>响应内容</w:t>
            </w:r>
          </w:p>
        </w:tc>
        <w:tc>
          <w:tcPr>
            <w:tcW w:w="1875" w:type="dxa"/>
            <w:vAlign w:val="center"/>
          </w:tcPr>
          <w:p>
            <w:pPr>
              <w:adjustRightInd w:val="0"/>
              <w:snapToGrid w:val="0"/>
              <w:jc w:val="center"/>
              <w:rPr>
                <w:color w:val="000000"/>
                <w:sz w:val="24"/>
              </w:rPr>
            </w:pPr>
            <w:r>
              <w:rPr>
                <w:color w:val="000000"/>
                <w:sz w:val="24"/>
              </w:rPr>
              <w:t>偏离情况</w:t>
            </w:r>
          </w:p>
          <w:p>
            <w:pPr>
              <w:adjustRightInd w:val="0"/>
              <w:snapToGrid w:val="0"/>
              <w:jc w:val="center"/>
              <w:rPr>
                <w:color w:val="000000"/>
                <w:sz w:val="24"/>
              </w:rPr>
            </w:pPr>
            <w:r>
              <w:rPr>
                <w:color w:val="000000"/>
                <w:sz w:val="24"/>
                <w:szCs w:val="21"/>
              </w:rPr>
              <w:t>（据实填写）</w:t>
            </w:r>
          </w:p>
        </w:tc>
        <w:tc>
          <w:tcPr>
            <w:tcW w:w="1009" w:type="dxa"/>
            <w:vAlign w:val="center"/>
          </w:tcPr>
          <w:p>
            <w:pPr>
              <w:adjustRightInd w:val="0"/>
              <w:snapToGrid w:val="0"/>
              <w:jc w:val="center"/>
              <w:rPr>
                <w:color w:val="000000"/>
                <w:sz w:val="24"/>
              </w:rPr>
            </w:pPr>
            <w:r>
              <w:rPr>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pPr>
              <w:adjustRightInd w:val="0"/>
              <w:snapToGrid w:val="0"/>
              <w:jc w:val="center"/>
              <w:rPr>
                <w:color w:val="000000"/>
                <w:sz w:val="24"/>
              </w:rPr>
            </w:pPr>
          </w:p>
        </w:tc>
        <w:tc>
          <w:tcPr>
            <w:tcW w:w="2143" w:type="dxa"/>
            <w:vAlign w:val="center"/>
          </w:tcPr>
          <w:p>
            <w:pPr>
              <w:adjustRightInd w:val="0"/>
              <w:snapToGrid w:val="0"/>
              <w:jc w:val="center"/>
              <w:rPr>
                <w:color w:val="000000"/>
                <w:sz w:val="24"/>
              </w:rPr>
            </w:pPr>
          </w:p>
        </w:tc>
        <w:tc>
          <w:tcPr>
            <w:tcW w:w="1723" w:type="dxa"/>
            <w:vAlign w:val="center"/>
          </w:tcPr>
          <w:p>
            <w:pPr>
              <w:adjustRightInd w:val="0"/>
              <w:snapToGrid w:val="0"/>
              <w:jc w:val="center"/>
              <w:rPr>
                <w:color w:val="000000"/>
                <w:sz w:val="24"/>
              </w:rPr>
            </w:pPr>
          </w:p>
        </w:tc>
        <w:tc>
          <w:tcPr>
            <w:tcW w:w="2126" w:type="dxa"/>
            <w:vAlign w:val="center"/>
          </w:tcPr>
          <w:p>
            <w:pPr>
              <w:adjustRightInd w:val="0"/>
              <w:snapToGrid w:val="0"/>
              <w:jc w:val="center"/>
              <w:rPr>
                <w:color w:val="000000"/>
                <w:sz w:val="24"/>
              </w:rPr>
            </w:pPr>
          </w:p>
        </w:tc>
        <w:tc>
          <w:tcPr>
            <w:tcW w:w="1875" w:type="dxa"/>
            <w:vAlign w:val="center"/>
          </w:tcPr>
          <w:p>
            <w:pPr>
              <w:adjustRightInd w:val="0"/>
              <w:snapToGrid w:val="0"/>
              <w:jc w:val="center"/>
              <w:rPr>
                <w:color w:val="000000"/>
                <w:sz w:val="24"/>
              </w:rPr>
            </w:pPr>
          </w:p>
        </w:tc>
        <w:tc>
          <w:tcPr>
            <w:tcW w:w="1009" w:type="dxa"/>
            <w:vAlign w:val="center"/>
          </w:tcPr>
          <w:p>
            <w:pPr>
              <w:adjustRightInd w:val="0"/>
              <w:snapToGrid w:val="0"/>
              <w:jc w:val="center"/>
              <w:rPr>
                <w:color w:val="000000"/>
                <w:sz w:val="24"/>
              </w:rPr>
            </w:pPr>
          </w:p>
        </w:tc>
      </w:tr>
    </w:tbl>
    <w:p>
      <w:pPr>
        <w:tabs>
          <w:tab w:val="left" w:pos="1800"/>
          <w:tab w:val="left" w:pos="5580"/>
        </w:tabs>
        <w:spacing w:line="360" w:lineRule="auto"/>
        <w:ind w:firstLine="360" w:firstLineChars="150"/>
        <w:jc w:val="left"/>
        <w:rPr>
          <w:color w:val="000000"/>
          <w:sz w:val="24"/>
          <w:u w:val="single"/>
        </w:rPr>
      </w:pPr>
    </w:p>
    <w:p>
      <w:pPr>
        <w:tabs>
          <w:tab w:val="left" w:pos="1800"/>
          <w:tab w:val="left" w:pos="5580"/>
        </w:tabs>
        <w:spacing w:line="360" w:lineRule="auto"/>
        <w:ind w:firstLine="360" w:firstLineChars="150"/>
        <w:jc w:val="left"/>
        <w:rPr>
          <w:color w:val="000000"/>
          <w:sz w:val="24"/>
          <w:u w:val="single"/>
        </w:rPr>
      </w:pPr>
    </w:p>
    <w:p>
      <w:pPr>
        <w:tabs>
          <w:tab w:val="left" w:pos="1800"/>
          <w:tab w:val="left" w:pos="5580"/>
        </w:tabs>
        <w:jc w:val="left"/>
        <w:rPr>
          <w:color w:val="000000"/>
          <w:sz w:val="24"/>
        </w:rPr>
      </w:pPr>
      <w:r>
        <w:rPr>
          <w:color w:val="000000"/>
          <w:sz w:val="24"/>
        </w:rPr>
        <w:t>注：</w:t>
      </w:r>
    </w:p>
    <w:p>
      <w:pPr>
        <w:tabs>
          <w:tab w:val="left" w:pos="1800"/>
          <w:tab w:val="left" w:pos="5580"/>
        </w:tabs>
        <w:jc w:val="left"/>
        <w:rPr>
          <w:sz w:val="24"/>
        </w:rPr>
      </w:pPr>
      <w:r>
        <w:rPr>
          <w:rFonts w:hint="eastAsia"/>
          <w:color w:val="000000"/>
          <w:sz w:val="24"/>
        </w:rPr>
        <w:t>1.</w:t>
      </w:r>
      <w:r>
        <w:rPr>
          <w:color w:val="000000"/>
          <w:sz w:val="24"/>
        </w:rPr>
        <w:t xml:space="preserve"> </w:t>
      </w:r>
      <w:r>
        <w:rPr>
          <w:sz w:val="24"/>
        </w:rPr>
        <w:t>对谈判文件中的所有商务、技术要求，除本表所列明的所有偏离外，均视作供应商已对之理解和</w:t>
      </w:r>
      <w:r>
        <w:rPr>
          <w:rFonts w:hint="eastAsia"/>
          <w:sz w:val="24"/>
        </w:rPr>
        <w:t>响应</w:t>
      </w:r>
      <w:r>
        <w:rPr>
          <w:sz w:val="24"/>
        </w:rPr>
        <w:t>。此表中若无任何文字说明，内容为空白，则</w:t>
      </w:r>
      <w:r>
        <w:rPr>
          <w:b/>
          <w:sz w:val="24"/>
        </w:rPr>
        <w:t>响应无效</w:t>
      </w:r>
      <w:r>
        <w:rPr>
          <w:sz w:val="24"/>
        </w:rPr>
        <w:t>。</w:t>
      </w:r>
    </w:p>
    <w:p>
      <w:pPr>
        <w:tabs>
          <w:tab w:val="left" w:pos="1800"/>
          <w:tab w:val="left" w:pos="5580"/>
        </w:tabs>
        <w:jc w:val="left"/>
        <w:rPr>
          <w:color w:val="000000"/>
          <w:sz w:val="24"/>
        </w:rPr>
      </w:pPr>
      <w:r>
        <w:rPr>
          <w:sz w:val="24"/>
        </w:rPr>
        <w:t>2.</w:t>
      </w:r>
      <w:r>
        <w:rPr>
          <w:rFonts w:hint="eastAsia"/>
          <w:sz w:val="24"/>
        </w:rPr>
        <w:t>“偏离情况”列应</w:t>
      </w:r>
      <w:r>
        <w:rPr>
          <w:rFonts w:hint="eastAsia"/>
          <w:color w:val="000000"/>
          <w:sz w:val="24"/>
        </w:rPr>
        <w:t>据实</w:t>
      </w:r>
      <w:r>
        <w:rPr>
          <w:rFonts w:hint="eastAsia"/>
          <w:sz w:val="24"/>
        </w:rPr>
        <w:t>填写“正偏离”或“负偏离”。</w:t>
      </w:r>
    </w:p>
    <w:p>
      <w:pPr>
        <w:tabs>
          <w:tab w:val="left" w:pos="1800"/>
          <w:tab w:val="left" w:pos="5580"/>
        </w:tabs>
        <w:jc w:val="left"/>
        <w:rPr>
          <w:color w:val="000000"/>
          <w:sz w:val="24"/>
        </w:rPr>
      </w:pPr>
    </w:p>
    <w:p>
      <w:pPr>
        <w:rPr>
          <w:color w:val="000000"/>
          <w:sz w:val="24"/>
          <w:szCs w:val="20"/>
        </w:rPr>
      </w:pPr>
    </w:p>
    <w:p>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pPr>
        <w:autoSpaceDE w:val="0"/>
        <w:autoSpaceDN w:val="0"/>
        <w:adjustRightInd w:val="0"/>
        <w:snapToGrid w:val="0"/>
        <w:spacing w:before="25" w:after="25" w:line="360" w:lineRule="auto"/>
        <w:rPr>
          <w:color w:val="000000"/>
          <w:sz w:val="24"/>
          <w:lang w:val="zh-CN"/>
        </w:rPr>
      </w:pPr>
      <w:r>
        <w:rPr>
          <w:color w:val="000000"/>
          <w:sz w:val="24"/>
        </w:rPr>
        <w:t>供应商名称（加盖公章）</w:t>
      </w:r>
      <w:r>
        <w:rPr>
          <w:color w:val="000000"/>
          <w:sz w:val="24"/>
          <w:lang w:val="zh-CN"/>
        </w:rPr>
        <w:t>：    ____________</w:t>
      </w:r>
    </w:p>
    <w:p>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pPr>
        <w:spacing w:line="360" w:lineRule="auto"/>
        <w:outlineLvl w:val="2"/>
        <w:rPr>
          <w:color w:val="000000"/>
          <w:sz w:val="24"/>
          <w:szCs w:val="20"/>
        </w:rPr>
      </w:pPr>
      <w:r>
        <w:rPr>
          <w:color w:val="000000"/>
          <w:sz w:val="24"/>
          <w:szCs w:val="20"/>
        </w:rPr>
        <w:br w:type="page"/>
      </w:r>
    </w:p>
    <w:p>
      <w:pPr>
        <w:spacing w:line="360" w:lineRule="auto"/>
        <w:outlineLvl w:val="2"/>
        <w:rPr>
          <w:color w:val="000000"/>
          <w:sz w:val="24"/>
          <w:szCs w:val="20"/>
        </w:rPr>
      </w:pPr>
      <w:r>
        <w:rPr>
          <w:rFonts w:hint="eastAsia"/>
          <w:color w:val="000000"/>
          <w:sz w:val="24"/>
          <w:szCs w:val="20"/>
        </w:rPr>
        <w:t>11</w:t>
      </w:r>
      <w:r>
        <w:rPr>
          <w:color w:val="000000"/>
          <w:sz w:val="24"/>
          <w:szCs w:val="20"/>
        </w:rPr>
        <w:t xml:space="preserve">  中小企业声明函</w:t>
      </w:r>
    </w:p>
    <w:p>
      <w:pPr>
        <w:tabs>
          <w:tab w:val="left" w:pos="5580"/>
        </w:tabs>
        <w:spacing w:line="360" w:lineRule="auto"/>
        <w:rPr>
          <w:sz w:val="24"/>
        </w:rPr>
      </w:pPr>
      <w:r>
        <w:rPr>
          <w:rFonts w:hint="eastAsia"/>
          <w:sz w:val="24"/>
        </w:rPr>
        <w:t>说明：</w:t>
      </w:r>
    </w:p>
    <w:p>
      <w:pPr>
        <w:tabs>
          <w:tab w:val="left" w:pos="5580"/>
        </w:tabs>
        <w:spacing w:line="360" w:lineRule="auto"/>
        <w:rPr>
          <w:sz w:val="24"/>
        </w:rPr>
      </w:pPr>
      <w:r>
        <w:rPr>
          <w:rFonts w:hint="eastAsia"/>
          <w:sz w:val="24"/>
        </w:rPr>
        <w:t>1）供应商如是属于本项目所属行业的中型、小型、微型企业，残疾人福利性单位、监狱企业的情形的可提供此格式文件，未提供的将不享受有关政策。《中小企业声明函》由参加政府采购活动的供应商出具。联合体响应的，《中小企业声明函》由牵头人出具。</w:t>
      </w:r>
    </w:p>
    <w:p>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sz w:val="24"/>
        </w:rPr>
      </w:pPr>
      <w:r>
        <w:rPr>
          <w:rFonts w:hint="eastAsia"/>
          <w:sz w:val="24"/>
        </w:rPr>
        <w:t>3）对于多标的的采购项目，供应商应充分、准确地了解所投产品制造企业信息。对相关情况了解不清楚的，不建议填报本声明函。</w:t>
      </w:r>
    </w:p>
    <w:p>
      <w:pPr>
        <w:tabs>
          <w:tab w:val="left" w:pos="5580"/>
        </w:tabs>
        <w:spacing w:line="360" w:lineRule="auto"/>
        <w:rPr>
          <w:sz w:val="24"/>
        </w:rPr>
      </w:pPr>
      <w:r>
        <w:rPr>
          <w:rFonts w:hint="eastAsia"/>
          <w:sz w:val="24"/>
        </w:rPr>
        <w:t>4）中小企业认定标准以《关于印发中小企业划型标准规定的通知》（工信部联企业〔2011〕300号）文件规定为准。</w:t>
      </w:r>
    </w:p>
    <w:p>
      <w:pPr>
        <w:tabs>
          <w:tab w:val="left" w:pos="5580"/>
        </w:tabs>
        <w:spacing w:line="360" w:lineRule="auto"/>
        <w:rPr>
          <w:sz w:val="24"/>
        </w:rPr>
      </w:pPr>
      <w:r>
        <w:rPr>
          <w:rFonts w:hint="eastAsia"/>
          <w:sz w:val="24"/>
        </w:rPr>
        <w:t>5）温馨提示：为方便广大中小企业识别企业规模类型，工业和信息化部组织开发了中</w:t>
      </w:r>
      <w:r>
        <w:rPr>
          <w:rFonts w:hint="eastAsia" w:ascii="Times New Roman" w:hAnsi="Times New Roman" w:eastAsia="宋体" w:cs="Times New Roman"/>
          <w:sz w:val="24"/>
        </w:rPr>
        <w:t>小企业规模类型自测小程序，在国务院客户端和工业和信息化部网站上均有链接，供应商填写所属的行业和指标数据可自动生成企业规模类型测试结果。（工信部网址：</w:t>
      </w:r>
      <w:r>
        <w:rPr>
          <w:rFonts w:hint="eastAsia" w:ascii="Times New Roman" w:hAnsi="Times New Roman" w:eastAsia="宋体" w:cs="Times New Roman"/>
          <w:sz w:val="24"/>
        </w:rPr>
        <w:fldChar w:fldCharType="begin"/>
      </w:r>
      <w:r>
        <w:rPr>
          <w:rFonts w:hint="eastAsia" w:ascii="Times New Roman" w:hAnsi="Times New Roman" w:eastAsia="宋体" w:cs="Times New Roman"/>
          <w:sz w:val="24"/>
        </w:rPr>
        <w:instrText xml:space="preserve"> HYPERLINK "http://202.106.120.146/baosong/appweb/orgScale.html" </w:instrText>
      </w:r>
      <w:r>
        <w:rPr>
          <w:rFonts w:hint="eastAsia" w:ascii="Times New Roman" w:hAnsi="Times New Roman" w:eastAsia="宋体" w:cs="Times New Roman"/>
          <w:sz w:val="24"/>
        </w:rPr>
        <w:fldChar w:fldCharType="separate"/>
      </w:r>
      <w:r>
        <w:rPr>
          <w:rFonts w:hint="eastAsia" w:ascii="Times New Roman" w:hAnsi="Times New Roman" w:eastAsia="宋体" w:cs="Times New Roman"/>
          <w:sz w:val="24"/>
        </w:rPr>
        <w:t>http://202.106.120.146/baosong/appweb/orgScale.html</w:t>
      </w:r>
      <w:r>
        <w:rPr>
          <w:rFonts w:hint="eastAsia" w:ascii="Times New Roman" w:hAnsi="Times New Roman" w:eastAsia="宋体" w:cs="Times New Roman"/>
          <w:sz w:val="24"/>
        </w:rPr>
        <w:fldChar w:fldCharType="end"/>
      </w:r>
      <w:r>
        <w:rPr>
          <w:rFonts w:hint="eastAsia" w:ascii="Times New Roman" w:hAnsi="Times New Roman" w:eastAsia="宋体" w:cs="Times New Roman"/>
          <w:sz w:val="24"/>
        </w:rPr>
        <w:t>）</w:t>
      </w:r>
    </w:p>
    <w:p>
      <w:pPr>
        <w:tabs>
          <w:tab w:val="left" w:pos="5580"/>
        </w:tabs>
        <w:spacing w:line="360" w:lineRule="auto"/>
        <w:rPr>
          <w:rFonts w:ascii="宋体" w:hAnsi="宋体"/>
          <w:b/>
          <w:sz w:val="24"/>
        </w:rPr>
      </w:pPr>
      <w:r>
        <w:rPr>
          <w:rFonts w:hint="eastAsia"/>
          <w:sz w:val="24"/>
        </w:rPr>
        <w:t>6）</w:t>
      </w:r>
      <w:r>
        <w:rPr>
          <w:rFonts w:ascii="宋体" w:hAnsi="宋体"/>
          <w:b/>
          <w:sz w:val="24"/>
        </w:rPr>
        <w:t>在货物采购项目中，供应商提供的货物既有中</w:t>
      </w:r>
      <w:r>
        <w:rPr>
          <w:rFonts w:hint="eastAsia" w:ascii="宋体" w:hAnsi="宋体"/>
          <w:b/>
          <w:sz w:val="24"/>
        </w:rPr>
        <w:t>型</w:t>
      </w:r>
      <w:r>
        <w:rPr>
          <w:rFonts w:ascii="宋体" w:hAnsi="宋体"/>
          <w:b/>
          <w:sz w:val="24"/>
        </w:rPr>
        <w:t>企业制造货物，也有</w:t>
      </w:r>
      <w:r>
        <w:rPr>
          <w:rFonts w:hint="eastAsia" w:ascii="宋体" w:hAnsi="宋体"/>
          <w:b/>
          <w:sz w:val="24"/>
        </w:rPr>
        <w:t>小微</w:t>
      </w:r>
      <w:r>
        <w:rPr>
          <w:rFonts w:ascii="宋体" w:hAnsi="宋体"/>
          <w:b/>
          <w:sz w:val="24"/>
        </w:rPr>
        <w:t>企业制造货物的，不享受</w:t>
      </w:r>
      <w:r>
        <w:rPr>
          <w:rFonts w:hint="eastAsia" w:ascii="宋体" w:hAnsi="宋体"/>
          <w:b/>
          <w:sz w:val="24"/>
        </w:rPr>
        <w:t>小微</w:t>
      </w:r>
      <w:r>
        <w:rPr>
          <w:rFonts w:ascii="宋体" w:hAnsi="宋体"/>
          <w:b/>
          <w:sz w:val="24"/>
        </w:rPr>
        <w:t>企业扶持政策</w:t>
      </w:r>
      <w:r>
        <w:rPr>
          <w:rFonts w:hint="eastAsia" w:ascii="宋体" w:hAnsi="宋体"/>
          <w:b/>
          <w:sz w:val="24"/>
        </w:rPr>
        <w:t>，不予价格扣除</w:t>
      </w:r>
      <w:r>
        <w:rPr>
          <w:rFonts w:ascii="宋体" w:hAnsi="宋体"/>
          <w:b/>
          <w:sz w:val="24"/>
        </w:rPr>
        <w:t>。</w:t>
      </w:r>
    </w:p>
    <w:p>
      <w:pPr>
        <w:tabs>
          <w:tab w:val="left" w:pos="5580"/>
        </w:tabs>
        <w:spacing w:line="360" w:lineRule="auto"/>
        <w:rPr>
          <w:rFonts w:ascii="宋体" w:hAnsi="宋体"/>
          <w:b/>
          <w:sz w:val="24"/>
        </w:rPr>
      </w:pPr>
      <w:r>
        <w:rPr>
          <w:rFonts w:hint="eastAsia" w:ascii="宋体" w:hAnsi="宋体"/>
          <w:b/>
          <w:sz w:val="24"/>
        </w:rPr>
        <w:t>7）小微企业未提供声明函的，价格分评审将不予价格扣除。</w:t>
      </w:r>
    </w:p>
    <w:p>
      <w:pPr>
        <w:spacing w:beforeLines="100" w:afterLines="100" w:line="360" w:lineRule="auto"/>
        <w:jc w:val="center"/>
        <w:rPr>
          <w:color w:val="000000"/>
          <w:sz w:val="24"/>
          <w:szCs w:val="20"/>
        </w:rPr>
      </w:pPr>
      <w:r>
        <w:rPr>
          <w:color w:val="000000"/>
          <w:sz w:val="24"/>
          <w:szCs w:val="20"/>
        </w:rPr>
        <w:br w:type="page"/>
      </w:r>
    </w:p>
    <w:p>
      <w:pPr>
        <w:spacing w:beforeLines="100" w:afterLines="100" w:line="360" w:lineRule="auto"/>
        <w:jc w:val="center"/>
        <w:rPr>
          <w:b/>
          <w:bCs/>
          <w:color w:val="000000"/>
          <w:sz w:val="36"/>
          <w:szCs w:val="36"/>
        </w:rPr>
      </w:pPr>
      <w:r>
        <w:rPr>
          <w:rFonts w:hint="eastAsia"/>
          <w:b/>
          <w:bCs/>
          <w:color w:val="000000"/>
          <w:sz w:val="36"/>
          <w:szCs w:val="36"/>
        </w:rPr>
        <w:t>中小企业声明函（工程、服务）格式</w:t>
      </w:r>
    </w:p>
    <w:p>
      <w:pPr>
        <w:spacing w:line="360" w:lineRule="auto"/>
        <w:ind w:firstLine="504"/>
        <w:rPr>
          <w:spacing w:val="6"/>
          <w:sz w:val="24"/>
        </w:rPr>
      </w:pPr>
      <w:r>
        <w:rPr>
          <w:spacing w:val="6"/>
          <w:sz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企业名称（加盖公章）：________</w:t>
      </w:r>
    </w:p>
    <w:p>
      <w:pPr>
        <w:spacing w:line="360" w:lineRule="auto"/>
        <w:ind w:right="360" w:firstLine="480"/>
        <w:jc w:val="right"/>
        <w:rPr>
          <w:color w:val="000000"/>
          <w:sz w:val="24"/>
        </w:rPr>
      </w:pPr>
      <w:r>
        <w:rPr>
          <w:color w:val="000000"/>
          <w:sz w:val="24"/>
        </w:rPr>
        <w:t>日 期：________</w:t>
      </w:r>
    </w:p>
    <w:p>
      <w:pPr>
        <w:adjustRightInd w:val="0"/>
        <w:snapToGrid w:val="0"/>
        <w:jc w:val="left"/>
        <w:rPr>
          <w:color w:val="000000"/>
          <w:sz w:val="24"/>
          <w:szCs w:val="21"/>
        </w:rPr>
      </w:pPr>
    </w:p>
    <w:p>
      <w:pPr>
        <w:adjustRightInd w:val="0"/>
        <w:snapToGrid w:val="0"/>
        <w:jc w:val="left"/>
        <w:rPr>
          <w:color w:val="000000"/>
          <w:sz w:val="24"/>
          <w:szCs w:val="21"/>
        </w:rPr>
      </w:pPr>
    </w:p>
    <w:tbl>
      <w:tblPr>
        <w:tblStyle w:val="4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pPr>
        <w:adjustRightInd w:val="0"/>
        <w:snapToGrid w:val="0"/>
        <w:jc w:val="left"/>
        <w:rPr>
          <w:color w:val="000000"/>
          <w:szCs w:val="21"/>
          <w:vertAlign w:val="superscript"/>
        </w:rPr>
      </w:pPr>
    </w:p>
    <w:p>
      <w:pPr>
        <w:spacing w:line="360" w:lineRule="auto"/>
        <w:ind w:right="360" w:firstLine="480"/>
        <w:jc w:val="right"/>
        <w:rPr>
          <w:color w:val="000000"/>
          <w:sz w:val="24"/>
        </w:rPr>
      </w:pPr>
    </w:p>
    <w:p>
      <w:pPr>
        <w:spacing w:line="360" w:lineRule="auto"/>
        <w:outlineLvl w:val="2"/>
        <w:rPr>
          <w:color w:val="000000"/>
          <w:sz w:val="24"/>
          <w:szCs w:val="20"/>
        </w:rPr>
      </w:pPr>
    </w:p>
    <w:p>
      <w:pPr>
        <w:spacing w:line="360" w:lineRule="auto"/>
        <w:outlineLvl w:val="2"/>
        <w:rPr>
          <w:color w:val="000000"/>
          <w:sz w:val="24"/>
          <w:szCs w:val="20"/>
        </w:rPr>
      </w:pPr>
    </w:p>
    <w:p>
      <w:pPr>
        <w:spacing w:line="360" w:lineRule="auto"/>
        <w:outlineLvl w:val="2"/>
        <w:rPr>
          <w:color w:val="000000"/>
          <w:sz w:val="24"/>
          <w:szCs w:val="20"/>
        </w:rPr>
      </w:pPr>
    </w:p>
    <w:p>
      <w:pPr>
        <w:spacing w:line="360" w:lineRule="auto"/>
        <w:outlineLvl w:val="2"/>
        <w:rPr>
          <w:color w:val="000000"/>
          <w:sz w:val="24"/>
          <w:szCs w:val="20"/>
        </w:rPr>
      </w:pPr>
    </w:p>
    <w:p>
      <w:pPr>
        <w:spacing w:line="360" w:lineRule="auto"/>
        <w:outlineLvl w:val="2"/>
        <w:rPr>
          <w:color w:val="000000"/>
          <w:sz w:val="24"/>
          <w:szCs w:val="20"/>
        </w:rPr>
      </w:pPr>
    </w:p>
    <w:p>
      <w:pPr>
        <w:spacing w:line="360" w:lineRule="auto"/>
        <w:outlineLvl w:val="2"/>
        <w:rPr>
          <w:color w:val="000000"/>
          <w:sz w:val="24"/>
          <w:szCs w:val="20"/>
        </w:rPr>
      </w:pPr>
    </w:p>
    <w:p>
      <w:pPr>
        <w:spacing w:beforeLines="100" w:afterLines="100" w:line="360" w:lineRule="auto"/>
        <w:jc w:val="center"/>
        <w:rPr>
          <w:color w:val="000000"/>
          <w:sz w:val="36"/>
          <w:szCs w:val="36"/>
        </w:rPr>
      </w:pPr>
      <w:r>
        <w:rPr>
          <w:b/>
          <w:bCs/>
          <w:color w:val="000000"/>
          <w:sz w:val="36"/>
          <w:szCs w:val="36"/>
        </w:rPr>
        <w:br w:type="page"/>
      </w:r>
      <w:r>
        <w:rPr>
          <w:b/>
          <w:bCs/>
          <w:color w:val="000000"/>
          <w:sz w:val="36"/>
          <w:szCs w:val="36"/>
        </w:rPr>
        <w:t>残疾人福利性单位声明函格式</w:t>
      </w:r>
      <w:r>
        <w:rPr>
          <w:color w:val="000000"/>
          <w:sz w:val="36"/>
          <w:szCs w:val="36"/>
        </w:rPr>
        <w:t xml:space="preserve"> </w:t>
      </w:r>
    </w:p>
    <w:p>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〔2017〕141</w:t>
      </w:r>
      <w:r>
        <w:rPr>
          <w:spacing w:val="6"/>
          <w:sz w:val="24"/>
        </w:rPr>
        <w:t>号）的规定，本单位</w:t>
      </w:r>
      <w:r>
        <w:rPr>
          <w:b/>
          <w:sz w:val="24"/>
        </w:rPr>
        <w:t>（请进行勾选）</w:t>
      </w:r>
      <w:r>
        <w:rPr>
          <w:spacing w:val="6"/>
          <w:sz w:val="24"/>
        </w:rPr>
        <w:t>：</w:t>
      </w:r>
    </w:p>
    <w:p>
      <w:pPr>
        <w:spacing w:line="588" w:lineRule="exact"/>
        <w:ind w:firstLine="482"/>
        <w:rPr>
          <w:b/>
          <w:spacing w:val="6"/>
          <w:sz w:val="24"/>
        </w:rPr>
      </w:pPr>
      <w:r>
        <w:rPr>
          <w:b/>
          <w:sz w:val="24"/>
        </w:rPr>
        <w:t>□</w:t>
      </w:r>
      <w:r>
        <w:rPr>
          <w:b/>
          <w:spacing w:val="6"/>
          <w:sz w:val="24"/>
        </w:rPr>
        <w:t>不属于符合条件的残疾人福利性单位。</w:t>
      </w:r>
    </w:p>
    <w:p>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spacing w:val="6"/>
          <w:sz w:val="24"/>
        </w:rPr>
      </w:pPr>
      <w:r>
        <w:rPr>
          <w:b/>
          <w:spacing w:val="6"/>
          <w:sz w:val="24"/>
        </w:rPr>
        <w:t>本单位对上述声明的真实性负责。如有虚假，将依法承担相应责任。</w:t>
      </w:r>
    </w:p>
    <w:p>
      <w:pPr>
        <w:spacing w:line="588" w:lineRule="exact"/>
        <w:ind w:firstLine="504" w:firstLineChars="200"/>
        <w:rPr>
          <w:spacing w:val="6"/>
          <w:sz w:val="24"/>
        </w:rPr>
      </w:pPr>
    </w:p>
    <w:p>
      <w:pPr>
        <w:spacing w:line="588" w:lineRule="exact"/>
        <w:ind w:firstLine="504" w:firstLineChars="200"/>
        <w:rPr>
          <w:spacing w:val="6"/>
          <w:sz w:val="24"/>
        </w:rPr>
      </w:pPr>
    </w:p>
    <w:p>
      <w:pPr>
        <w:tabs>
          <w:tab w:val="left" w:pos="4860"/>
        </w:tabs>
        <w:spacing w:line="588" w:lineRule="exact"/>
        <w:ind w:right="1560" w:firstLine="504" w:firstLineChars="200"/>
        <w:jc w:val="center"/>
        <w:rPr>
          <w:spacing w:val="6"/>
          <w:sz w:val="24"/>
        </w:rPr>
      </w:pPr>
      <w:r>
        <w:rPr>
          <w:spacing w:val="6"/>
          <w:sz w:val="24"/>
        </w:rPr>
        <w:t xml:space="preserve">               单位名称（加盖公章）：</w:t>
      </w:r>
    </w:p>
    <w:p>
      <w:pPr>
        <w:tabs>
          <w:tab w:val="left" w:pos="4860"/>
        </w:tabs>
        <w:spacing w:line="588" w:lineRule="exact"/>
        <w:ind w:right="1560" w:firstLine="504" w:firstLineChars="200"/>
        <w:jc w:val="center"/>
        <w:rPr>
          <w:spacing w:val="6"/>
          <w:sz w:val="24"/>
        </w:rPr>
      </w:pPr>
      <w:r>
        <w:rPr>
          <w:spacing w:val="6"/>
          <w:sz w:val="24"/>
        </w:rPr>
        <w:t xml:space="preserve">       日  期：</w:t>
      </w:r>
    </w:p>
    <w:p>
      <w:pPr>
        <w:spacing w:line="360" w:lineRule="auto"/>
        <w:outlineLvl w:val="2"/>
        <w:rPr>
          <w:b/>
          <w:color w:val="000000"/>
          <w:sz w:val="24"/>
        </w:rPr>
      </w:pPr>
    </w:p>
    <w:p>
      <w:pPr>
        <w:rPr>
          <w:color w:val="000000"/>
          <w:sz w:val="24"/>
          <w:szCs w:val="20"/>
        </w:rPr>
      </w:pPr>
      <w:r>
        <w:rPr>
          <w:color w:val="000000"/>
          <w:sz w:val="24"/>
          <w:szCs w:val="20"/>
        </w:rPr>
        <w:br w:type="page"/>
      </w:r>
    </w:p>
    <w:p>
      <w:pPr>
        <w:rPr>
          <w:color w:val="000000"/>
          <w:sz w:val="24"/>
          <w:szCs w:val="20"/>
        </w:rPr>
      </w:pPr>
    </w:p>
    <w:p>
      <w:pPr>
        <w:spacing w:line="360" w:lineRule="auto"/>
        <w:outlineLvl w:val="2"/>
        <w:rPr>
          <w:sz w:val="24"/>
        </w:rPr>
      </w:pPr>
      <w:r>
        <w:rPr>
          <w:rFonts w:hint="eastAsia"/>
          <w:color w:val="000000"/>
          <w:sz w:val="24"/>
          <w:szCs w:val="20"/>
        </w:rPr>
        <w:t>12</w:t>
      </w:r>
      <w:r>
        <w:rPr>
          <w:color w:val="000000"/>
          <w:sz w:val="24"/>
          <w:szCs w:val="20"/>
        </w:rPr>
        <w:t xml:space="preserve">  谈判文件要求提供或供应商认为应附的其他材料</w:t>
      </w:r>
    </w:p>
    <w:p>
      <w:pPr>
        <w:rPr>
          <w:b/>
          <w:sz w:val="36"/>
          <w:szCs w:val="36"/>
        </w:rPr>
      </w:pPr>
    </w:p>
    <w:sectPr>
      <w:headerReference r:id="rId7" w:type="first"/>
      <w:footerReference r:id="rId9" w:type="first"/>
      <w:headerReference r:id="rId6" w:type="even"/>
      <w:footerReference r:id="rId8" w:type="even"/>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CESI黑体-GB2312">
    <w:altName w:val="黑体"/>
    <w:panose1 w:val="00000000000000000000"/>
    <w:charset w:val="86"/>
    <w:family w:val="auto"/>
    <w:pitch w:val="default"/>
    <w:sig w:usb0="00000000" w:usb1="00000000" w:usb2="00000012" w:usb3="00000000" w:csb0="0004000F"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rFonts w:ascii="Times New Roman"/>
      </w:rP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61</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right" w:y="1"/>
      <w:rPr>
        <w:rStyle w:val="48"/>
      </w:rPr>
    </w:pPr>
  </w:p>
  <w:p>
    <w:pPr>
      <w:pStyle w:val="29"/>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pPr>
      <w:pStyle w:val="29"/>
      <w:ind w:right="360"/>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3CC20"/>
    <w:multiLevelType w:val="singleLevel"/>
    <w:tmpl w:val="A413CC20"/>
    <w:lvl w:ilvl="0" w:tentative="0">
      <w:start w:val="1"/>
      <w:numFmt w:val="decimal"/>
      <w:suff w:val="space"/>
      <w:lvlText w:val="%1."/>
      <w:lvlJc w:val="left"/>
    </w:lvl>
  </w:abstractNum>
  <w:abstractNum w:abstractNumId="1">
    <w:nsid w:val="AA4F017F"/>
    <w:multiLevelType w:val="singleLevel"/>
    <w:tmpl w:val="AA4F017F"/>
    <w:lvl w:ilvl="0" w:tentative="0">
      <w:start w:val="1"/>
      <w:numFmt w:val="decimal"/>
      <w:suff w:val="nothing"/>
      <w:lvlText w:val="%1、"/>
      <w:lvlJc w:val="left"/>
    </w:lvl>
  </w:abstractNum>
  <w:abstractNum w:abstractNumId="2">
    <w:nsid w:val="E67533AE"/>
    <w:multiLevelType w:val="multilevel"/>
    <w:tmpl w:val="E67533AE"/>
    <w:lvl w:ilvl="0" w:tentative="0">
      <w:start w:val="1"/>
      <w:numFmt w:val="decimal"/>
      <w:lvlText w:val="%1"/>
      <w:lvlJc w:val="left"/>
      <w:pPr>
        <w:tabs>
          <w:tab w:val="left" w:pos="900"/>
        </w:tabs>
        <w:ind w:left="900" w:hanging="900"/>
      </w:pPr>
      <w:rPr>
        <w:rFonts w:hint="eastAsia"/>
      </w:rPr>
    </w:lvl>
    <w:lvl w:ilvl="1" w:tentative="0">
      <w:start w:val="1"/>
      <w:numFmt w:val="decimal"/>
      <w:suff w:val="space"/>
      <w:lvlText w:val="%1.%2"/>
      <w:lvlJc w:val="left"/>
      <w:pPr>
        <w:tabs>
          <w:tab w:val="left" w:pos="0"/>
        </w:tabs>
        <w:ind w:left="510" w:hanging="510"/>
      </w:pPr>
      <w:rPr>
        <w:rFonts w:hint="default" w:ascii="Times New Roman" w:hAnsi="Times New Roman" w:cs="Times New Roman"/>
        <w:b w:val="0"/>
        <w:bCs/>
        <w:sz w:val="24"/>
        <w:szCs w:val="24"/>
      </w:rPr>
    </w:lvl>
    <w:lvl w:ilvl="2" w:tentative="0">
      <w:start w:val="1"/>
      <w:numFmt w:val="decimal"/>
      <w:suff w:val="space"/>
      <w:lvlText w:val="%1.%2.%3"/>
      <w:lvlJc w:val="left"/>
      <w:pPr>
        <w:tabs>
          <w:tab w:val="left" w:pos="1979"/>
        </w:tabs>
        <w:ind w:left="550" w:firstLine="530"/>
      </w:pPr>
      <w:rPr>
        <w:rFonts w:hint="default"/>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3">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4">
    <w:nsid w:val="0000000A"/>
    <w:multiLevelType w:val="multilevel"/>
    <w:tmpl w:val="0000000A"/>
    <w:lvl w:ilvl="0" w:tentative="0">
      <w:start w:val="1"/>
      <w:numFmt w:val="decimal"/>
      <w:pStyle w:val="111"/>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D"/>
    <w:multiLevelType w:val="multilevel"/>
    <w:tmpl w:val="0000000D"/>
    <w:lvl w:ilvl="0" w:tentative="0">
      <w:start w:val="1"/>
      <w:numFmt w:val="lowerLetter"/>
      <w:pStyle w:val="18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6">
    <w:nsid w:val="00000013"/>
    <w:multiLevelType w:val="singleLevel"/>
    <w:tmpl w:val="00000013"/>
    <w:lvl w:ilvl="0" w:tentative="0">
      <w:start w:val="1"/>
      <w:numFmt w:val="decimal"/>
      <w:pStyle w:val="156"/>
      <w:lvlText w:val="%1."/>
      <w:lvlJc w:val="left"/>
      <w:pPr>
        <w:tabs>
          <w:tab w:val="left" w:pos="360"/>
        </w:tabs>
        <w:ind w:left="360" w:hanging="360"/>
      </w:pPr>
      <w:rPr>
        <w:rFonts w:hint="default"/>
      </w:rPr>
    </w:lvl>
  </w:abstractNum>
  <w:abstractNum w:abstractNumId="7">
    <w:nsid w:val="00000026"/>
    <w:multiLevelType w:val="multilevel"/>
    <w:tmpl w:val="00000026"/>
    <w:lvl w:ilvl="0" w:tentative="0">
      <w:start w:val="1"/>
      <w:numFmt w:val="decimal"/>
      <w:pStyle w:val="105"/>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104"/>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41"/>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40"/>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4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62"/>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25"/>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8">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43"/>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9">
    <w:nsid w:val="0000002F"/>
    <w:multiLevelType w:val="multilevel"/>
    <w:tmpl w:val="0000002F"/>
    <w:lvl w:ilvl="0" w:tentative="0">
      <w:start w:val="1"/>
      <w:numFmt w:val="decimal"/>
      <w:pStyle w:val="11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E230849"/>
    <w:multiLevelType w:val="multilevel"/>
    <w:tmpl w:val="0E230849"/>
    <w:lvl w:ilvl="0" w:tentative="0">
      <w:start w:val="1"/>
      <w:numFmt w:val="decimal"/>
      <w:pStyle w:val="210"/>
      <w:lvlText w:val="%1"/>
      <w:lvlJc w:val="left"/>
      <w:pPr>
        <w:ind w:left="680" w:hanging="680"/>
      </w:pPr>
      <w:rPr>
        <w:rFonts w:hint="eastAsia" w:ascii="宋体" w:hAnsi="宋体" w:eastAsia="宋体"/>
      </w:rPr>
    </w:lvl>
    <w:lvl w:ilvl="1" w:tentative="0">
      <w:start w:val="1"/>
      <w:numFmt w:val="decimal"/>
      <w:pStyle w:val="211"/>
      <w:lvlText w:val="%1.%2"/>
      <w:lvlJc w:val="left"/>
      <w:pPr>
        <w:ind w:left="851" w:hanging="851"/>
      </w:pPr>
      <w:rPr>
        <w:rFonts w:hint="eastAsia" w:ascii="宋体" w:hAnsi="宋体" w:eastAsia="宋体"/>
        <w:color w:val="auto"/>
      </w:rPr>
    </w:lvl>
    <w:lvl w:ilvl="2" w:tentative="0">
      <w:start w:val="1"/>
      <w:numFmt w:val="decimal"/>
      <w:pStyle w:val="212"/>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1">
    <w:nsid w:val="13851098"/>
    <w:multiLevelType w:val="multilevel"/>
    <w:tmpl w:val="13851098"/>
    <w:lvl w:ilvl="0" w:tentative="0">
      <w:start w:val="1"/>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957E6A7"/>
    <w:multiLevelType w:val="multilevel"/>
    <w:tmpl w:val="1957E6A7"/>
    <w:lvl w:ilvl="0" w:tentative="0">
      <w:start w:val="1"/>
      <w:numFmt w:val="decimal"/>
      <w:suff w:val="space"/>
      <w:lvlText w:val="%1"/>
      <w:lvlJc w:val="left"/>
      <w:pPr>
        <w:tabs>
          <w:tab w:val="left" w:pos="0"/>
        </w:tabs>
        <w:ind w:left="554" w:hanging="554"/>
      </w:pPr>
      <w:rPr>
        <w:rFonts w:hint="default"/>
        <w:sz w:val="24"/>
      </w:rPr>
    </w:lvl>
    <w:lvl w:ilvl="1" w:tentative="0">
      <w:start w:val="1"/>
      <w:numFmt w:val="decimal"/>
      <w:suff w:val="space"/>
      <w:lvlText w:val="%1.%2"/>
      <w:lvlJc w:val="left"/>
      <w:pPr>
        <w:tabs>
          <w:tab w:val="left" w:pos="0"/>
        </w:tabs>
        <w:ind w:left="532" w:hanging="534"/>
      </w:pPr>
      <w:rPr>
        <w:rFonts w:hint="default" w:ascii="Times New Roman" w:hAnsi="Times New Roman" w:cs="Times New Roman"/>
        <w:sz w:val="24"/>
        <w:szCs w:val="24"/>
      </w:rPr>
    </w:lvl>
    <w:lvl w:ilvl="2" w:tentative="0">
      <w:start w:val="1"/>
      <w:numFmt w:val="decimal"/>
      <w:suff w:val="space"/>
      <w:lvlText w:val="%1.%2.%3"/>
      <w:lvlJc w:val="left"/>
      <w:pPr>
        <w:tabs>
          <w:tab w:val="left" w:pos="261"/>
        </w:tabs>
        <w:ind w:left="515" w:hanging="515"/>
      </w:pPr>
      <w:rPr>
        <w:rFonts w:hint="default"/>
      </w:rPr>
    </w:lvl>
    <w:lvl w:ilvl="3" w:tentative="0">
      <w:start w:val="1"/>
      <w:numFmt w:val="decimal"/>
      <w:suff w:val="space"/>
      <w:lvlText w:val="%1.%2.%3.%4"/>
      <w:lvlJc w:val="left"/>
      <w:pPr>
        <w:tabs>
          <w:tab w:val="left" w:pos="901"/>
        </w:tabs>
        <w:ind w:left="554" w:hanging="554"/>
      </w:pPr>
      <w:rPr>
        <w:rFonts w:hint="default"/>
      </w:rPr>
    </w:lvl>
    <w:lvl w:ilvl="4" w:tentative="0">
      <w:start w:val="1"/>
      <w:numFmt w:val="decimal"/>
      <w:suff w:val="space"/>
      <w:lvlText w:val="%1.%2.%3.%4.%5"/>
      <w:lvlJc w:val="left"/>
      <w:pPr>
        <w:tabs>
          <w:tab w:val="left" w:pos="901"/>
        </w:tabs>
        <w:ind w:left="900" w:hanging="900"/>
      </w:pPr>
      <w:rPr>
        <w:rFonts w:hint="default"/>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42D22EAE"/>
    <w:multiLevelType w:val="multilevel"/>
    <w:tmpl w:val="42D22EAE"/>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577391FB"/>
    <w:multiLevelType w:val="singleLevel"/>
    <w:tmpl w:val="577391FB"/>
    <w:lvl w:ilvl="0" w:tentative="0">
      <w:start w:val="1"/>
      <w:numFmt w:val="decimal"/>
      <w:suff w:val="nothing"/>
      <w:lvlText w:val="（%1）"/>
      <w:lvlJc w:val="left"/>
    </w:lvl>
  </w:abstractNum>
  <w:num w:numId="1">
    <w:abstractNumId w:val="7"/>
  </w:num>
  <w:num w:numId="2">
    <w:abstractNumId w:val="9"/>
  </w:num>
  <w:num w:numId="3">
    <w:abstractNumId w:val="4"/>
  </w:num>
  <w:num w:numId="4">
    <w:abstractNumId w:val="8"/>
  </w:num>
  <w:num w:numId="5">
    <w:abstractNumId w:val="6"/>
  </w:num>
  <w:num w:numId="6">
    <w:abstractNumId w:val="5"/>
  </w:num>
  <w:num w:numId="7">
    <w:abstractNumId w:val="10"/>
  </w:num>
  <w:num w:numId="8">
    <w:abstractNumId w:val="12"/>
  </w:num>
  <w:num w:numId="9">
    <w:abstractNumId w:val="3"/>
  </w:num>
  <w:num w:numId="10">
    <w:abstractNumId w:val="2"/>
  </w:num>
  <w:num w:numId="11">
    <w:abstractNumId w:val="13"/>
  </w:num>
  <w:num w:numId="12">
    <w:abstractNumId w:val="1"/>
  </w:num>
  <w:num w:numId="13">
    <w:abstractNumId w:val="1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ACTIVE" w:val="03年范本稿123.doc"/>
    <w:docVar w:name="commondata" w:val="eyJoZGlkIjoiMmZiNzkyODJjY2MwODM2NjA2NzlkZGZmZTlkOTFkMmE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CAB"/>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DDF"/>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4BA"/>
    <w:rsid w:val="000106FC"/>
    <w:rsid w:val="00010763"/>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155"/>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3B3"/>
    <w:rsid w:val="000304E9"/>
    <w:rsid w:val="00030640"/>
    <w:rsid w:val="0003072E"/>
    <w:rsid w:val="000307A8"/>
    <w:rsid w:val="00030887"/>
    <w:rsid w:val="00030D81"/>
    <w:rsid w:val="00030EDC"/>
    <w:rsid w:val="00031069"/>
    <w:rsid w:val="000313A2"/>
    <w:rsid w:val="000313C2"/>
    <w:rsid w:val="00031442"/>
    <w:rsid w:val="000315E4"/>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640"/>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BB8"/>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30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E25"/>
    <w:rsid w:val="00052FD2"/>
    <w:rsid w:val="00053251"/>
    <w:rsid w:val="000535E6"/>
    <w:rsid w:val="00053890"/>
    <w:rsid w:val="00053AC5"/>
    <w:rsid w:val="00053B80"/>
    <w:rsid w:val="00053E3F"/>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0C7"/>
    <w:rsid w:val="0006142A"/>
    <w:rsid w:val="00061819"/>
    <w:rsid w:val="00061DD1"/>
    <w:rsid w:val="00061EF5"/>
    <w:rsid w:val="00061F68"/>
    <w:rsid w:val="000620CE"/>
    <w:rsid w:val="0006234D"/>
    <w:rsid w:val="00062474"/>
    <w:rsid w:val="00062613"/>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9A7"/>
    <w:rsid w:val="00065B6B"/>
    <w:rsid w:val="00065C44"/>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7D8"/>
    <w:rsid w:val="0007090B"/>
    <w:rsid w:val="00070998"/>
    <w:rsid w:val="00070BB9"/>
    <w:rsid w:val="0007103D"/>
    <w:rsid w:val="00071171"/>
    <w:rsid w:val="00071223"/>
    <w:rsid w:val="00071356"/>
    <w:rsid w:val="000717B7"/>
    <w:rsid w:val="00071D3C"/>
    <w:rsid w:val="00071DF6"/>
    <w:rsid w:val="00071FFA"/>
    <w:rsid w:val="0007206F"/>
    <w:rsid w:val="000720B4"/>
    <w:rsid w:val="00072449"/>
    <w:rsid w:val="000725F4"/>
    <w:rsid w:val="000726DA"/>
    <w:rsid w:val="000729EE"/>
    <w:rsid w:val="00072BC1"/>
    <w:rsid w:val="00072CC1"/>
    <w:rsid w:val="00072E07"/>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713"/>
    <w:rsid w:val="000817A1"/>
    <w:rsid w:val="00081948"/>
    <w:rsid w:val="00082322"/>
    <w:rsid w:val="0008234E"/>
    <w:rsid w:val="00082377"/>
    <w:rsid w:val="0008253C"/>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070"/>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95E"/>
    <w:rsid w:val="00093DF7"/>
    <w:rsid w:val="00093EE8"/>
    <w:rsid w:val="00093F6E"/>
    <w:rsid w:val="0009426B"/>
    <w:rsid w:val="000944DB"/>
    <w:rsid w:val="000945AA"/>
    <w:rsid w:val="00094A82"/>
    <w:rsid w:val="00094B4C"/>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0"/>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B35"/>
    <w:rsid w:val="000A3D00"/>
    <w:rsid w:val="000A3FFB"/>
    <w:rsid w:val="000A414A"/>
    <w:rsid w:val="000A41F4"/>
    <w:rsid w:val="000A4578"/>
    <w:rsid w:val="000A4A3B"/>
    <w:rsid w:val="000A4DA3"/>
    <w:rsid w:val="000A4F98"/>
    <w:rsid w:val="000A5098"/>
    <w:rsid w:val="000A539A"/>
    <w:rsid w:val="000A54CC"/>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5D"/>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76"/>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754"/>
    <w:rsid w:val="000E1859"/>
    <w:rsid w:val="000E1C30"/>
    <w:rsid w:val="000E1CCF"/>
    <w:rsid w:val="000E1E99"/>
    <w:rsid w:val="000E208B"/>
    <w:rsid w:val="000E2595"/>
    <w:rsid w:val="000E2961"/>
    <w:rsid w:val="000E2982"/>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71"/>
    <w:rsid w:val="000F775A"/>
    <w:rsid w:val="000F7B30"/>
    <w:rsid w:val="000F7C70"/>
    <w:rsid w:val="000F7E2B"/>
    <w:rsid w:val="001003BB"/>
    <w:rsid w:val="00100421"/>
    <w:rsid w:val="0010063E"/>
    <w:rsid w:val="001006D6"/>
    <w:rsid w:val="001006F0"/>
    <w:rsid w:val="001008FB"/>
    <w:rsid w:val="00100CF1"/>
    <w:rsid w:val="00100EF3"/>
    <w:rsid w:val="00100FA0"/>
    <w:rsid w:val="001011B1"/>
    <w:rsid w:val="00101254"/>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6284"/>
    <w:rsid w:val="0010635B"/>
    <w:rsid w:val="00106636"/>
    <w:rsid w:val="00106A5A"/>
    <w:rsid w:val="00106D64"/>
    <w:rsid w:val="00106E02"/>
    <w:rsid w:val="00106EA1"/>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B13"/>
    <w:rsid w:val="00110C17"/>
    <w:rsid w:val="00110D04"/>
    <w:rsid w:val="00110F91"/>
    <w:rsid w:val="0011139D"/>
    <w:rsid w:val="0011199A"/>
    <w:rsid w:val="00111AB0"/>
    <w:rsid w:val="00111B72"/>
    <w:rsid w:val="00111BB5"/>
    <w:rsid w:val="00111D5C"/>
    <w:rsid w:val="00111DD5"/>
    <w:rsid w:val="0011204B"/>
    <w:rsid w:val="00112212"/>
    <w:rsid w:val="00112496"/>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57"/>
    <w:rsid w:val="001278ED"/>
    <w:rsid w:val="00127B9E"/>
    <w:rsid w:val="00127CA5"/>
    <w:rsid w:val="00127D7F"/>
    <w:rsid w:val="00127EBF"/>
    <w:rsid w:val="00127FC5"/>
    <w:rsid w:val="0013004A"/>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CD7"/>
    <w:rsid w:val="00131D11"/>
    <w:rsid w:val="00132024"/>
    <w:rsid w:val="00132696"/>
    <w:rsid w:val="001328EB"/>
    <w:rsid w:val="00132E43"/>
    <w:rsid w:val="00132F01"/>
    <w:rsid w:val="00132F98"/>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D33"/>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EDA"/>
    <w:rsid w:val="00142F2B"/>
    <w:rsid w:val="00143045"/>
    <w:rsid w:val="001436C2"/>
    <w:rsid w:val="001436DC"/>
    <w:rsid w:val="00143844"/>
    <w:rsid w:val="00143A90"/>
    <w:rsid w:val="00143E6D"/>
    <w:rsid w:val="00144073"/>
    <w:rsid w:val="00144744"/>
    <w:rsid w:val="00144904"/>
    <w:rsid w:val="00144AFB"/>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462"/>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5619"/>
    <w:rsid w:val="00155BFC"/>
    <w:rsid w:val="001564FC"/>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803"/>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27E"/>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35"/>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2CCE"/>
    <w:rsid w:val="00183026"/>
    <w:rsid w:val="001834AA"/>
    <w:rsid w:val="001835E4"/>
    <w:rsid w:val="001835F6"/>
    <w:rsid w:val="001838C6"/>
    <w:rsid w:val="00183935"/>
    <w:rsid w:val="0018397D"/>
    <w:rsid w:val="00183A51"/>
    <w:rsid w:val="00183A60"/>
    <w:rsid w:val="00183B57"/>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2FE2"/>
    <w:rsid w:val="001930E3"/>
    <w:rsid w:val="00193106"/>
    <w:rsid w:val="001938D7"/>
    <w:rsid w:val="00193A98"/>
    <w:rsid w:val="00193AA4"/>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7B3"/>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8B"/>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88D"/>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7B7"/>
    <w:rsid w:val="001A6862"/>
    <w:rsid w:val="001A68CC"/>
    <w:rsid w:val="001A6996"/>
    <w:rsid w:val="001A69AA"/>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A08"/>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F1"/>
    <w:rsid w:val="001B43B1"/>
    <w:rsid w:val="001B4499"/>
    <w:rsid w:val="001B453C"/>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9E9"/>
    <w:rsid w:val="001C4AD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2FA"/>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0D65"/>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DBA"/>
    <w:rsid w:val="001E0FFD"/>
    <w:rsid w:val="001E1087"/>
    <w:rsid w:val="001E10CD"/>
    <w:rsid w:val="001E141A"/>
    <w:rsid w:val="001E14D7"/>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283"/>
    <w:rsid w:val="001E437E"/>
    <w:rsid w:val="001E447D"/>
    <w:rsid w:val="001E4ED1"/>
    <w:rsid w:val="001E5295"/>
    <w:rsid w:val="001E54DC"/>
    <w:rsid w:val="001E586D"/>
    <w:rsid w:val="001E5F6D"/>
    <w:rsid w:val="001E60C7"/>
    <w:rsid w:val="001E62EA"/>
    <w:rsid w:val="001E63BE"/>
    <w:rsid w:val="001E65B2"/>
    <w:rsid w:val="001E65C3"/>
    <w:rsid w:val="001E6704"/>
    <w:rsid w:val="001E6978"/>
    <w:rsid w:val="001E698B"/>
    <w:rsid w:val="001E6A37"/>
    <w:rsid w:val="001E6A83"/>
    <w:rsid w:val="001E6B6F"/>
    <w:rsid w:val="001E6D16"/>
    <w:rsid w:val="001E6E79"/>
    <w:rsid w:val="001E6F5F"/>
    <w:rsid w:val="001E7238"/>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20"/>
    <w:rsid w:val="001F0C50"/>
    <w:rsid w:val="001F126A"/>
    <w:rsid w:val="001F137C"/>
    <w:rsid w:val="001F17AB"/>
    <w:rsid w:val="001F1B18"/>
    <w:rsid w:val="001F1D26"/>
    <w:rsid w:val="001F1E70"/>
    <w:rsid w:val="001F2402"/>
    <w:rsid w:val="001F28AA"/>
    <w:rsid w:val="001F2AB7"/>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D73"/>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22"/>
    <w:rsid w:val="00202B44"/>
    <w:rsid w:val="00203118"/>
    <w:rsid w:val="00203153"/>
    <w:rsid w:val="00203220"/>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5AE"/>
    <w:rsid w:val="0020761E"/>
    <w:rsid w:val="002077D3"/>
    <w:rsid w:val="002078ED"/>
    <w:rsid w:val="00207913"/>
    <w:rsid w:val="002079D2"/>
    <w:rsid w:val="00207CF8"/>
    <w:rsid w:val="00207E99"/>
    <w:rsid w:val="002105B2"/>
    <w:rsid w:val="002105C3"/>
    <w:rsid w:val="0021063C"/>
    <w:rsid w:val="0021085B"/>
    <w:rsid w:val="002109C6"/>
    <w:rsid w:val="00210A3A"/>
    <w:rsid w:val="00210C07"/>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9C6"/>
    <w:rsid w:val="00213B0D"/>
    <w:rsid w:val="00213B31"/>
    <w:rsid w:val="00213EC0"/>
    <w:rsid w:val="00213EE5"/>
    <w:rsid w:val="00214137"/>
    <w:rsid w:val="002141E2"/>
    <w:rsid w:val="00214368"/>
    <w:rsid w:val="00214950"/>
    <w:rsid w:val="00214B2B"/>
    <w:rsid w:val="00214F86"/>
    <w:rsid w:val="00214FA6"/>
    <w:rsid w:val="0021509C"/>
    <w:rsid w:val="002152AD"/>
    <w:rsid w:val="00215476"/>
    <w:rsid w:val="0021554A"/>
    <w:rsid w:val="0021618E"/>
    <w:rsid w:val="002161B4"/>
    <w:rsid w:val="00216642"/>
    <w:rsid w:val="002166AF"/>
    <w:rsid w:val="002167D9"/>
    <w:rsid w:val="00216A22"/>
    <w:rsid w:val="00216B83"/>
    <w:rsid w:val="00216EEC"/>
    <w:rsid w:val="00217445"/>
    <w:rsid w:val="0021798F"/>
    <w:rsid w:val="00217C37"/>
    <w:rsid w:val="00217CB8"/>
    <w:rsid w:val="00217E13"/>
    <w:rsid w:val="00217E62"/>
    <w:rsid w:val="00217EA8"/>
    <w:rsid w:val="0022004D"/>
    <w:rsid w:val="002202FE"/>
    <w:rsid w:val="00220349"/>
    <w:rsid w:val="00220562"/>
    <w:rsid w:val="0022057E"/>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7EF"/>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38"/>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1DF"/>
    <w:rsid w:val="00226217"/>
    <w:rsid w:val="0022656B"/>
    <w:rsid w:val="00226831"/>
    <w:rsid w:val="00226BA4"/>
    <w:rsid w:val="00226F38"/>
    <w:rsid w:val="00226FD1"/>
    <w:rsid w:val="0022737E"/>
    <w:rsid w:val="00227679"/>
    <w:rsid w:val="00227B21"/>
    <w:rsid w:val="00230A63"/>
    <w:rsid w:val="00230AEB"/>
    <w:rsid w:val="00230B42"/>
    <w:rsid w:val="00230CB0"/>
    <w:rsid w:val="00230CFB"/>
    <w:rsid w:val="00230EA6"/>
    <w:rsid w:val="0023108B"/>
    <w:rsid w:val="0023109B"/>
    <w:rsid w:val="002312EC"/>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0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63B"/>
    <w:rsid w:val="00245972"/>
    <w:rsid w:val="00245E3C"/>
    <w:rsid w:val="002460FE"/>
    <w:rsid w:val="00246133"/>
    <w:rsid w:val="0024623F"/>
    <w:rsid w:val="00246812"/>
    <w:rsid w:val="002469F5"/>
    <w:rsid w:val="00246BC6"/>
    <w:rsid w:val="00246D51"/>
    <w:rsid w:val="00246E3E"/>
    <w:rsid w:val="00246FBC"/>
    <w:rsid w:val="0024701C"/>
    <w:rsid w:val="0024706D"/>
    <w:rsid w:val="002479EA"/>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8F4"/>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79E"/>
    <w:rsid w:val="0025784D"/>
    <w:rsid w:val="0025796D"/>
    <w:rsid w:val="00257B21"/>
    <w:rsid w:val="00257BBD"/>
    <w:rsid w:val="00257EAF"/>
    <w:rsid w:val="00257EC6"/>
    <w:rsid w:val="00257ED6"/>
    <w:rsid w:val="00260201"/>
    <w:rsid w:val="0026037B"/>
    <w:rsid w:val="002604FD"/>
    <w:rsid w:val="002605E4"/>
    <w:rsid w:val="00260A36"/>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3FB9"/>
    <w:rsid w:val="002642DE"/>
    <w:rsid w:val="002643A5"/>
    <w:rsid w:val="002644E1"/>
    <w:rsid w:val="00264548"/>
    <w:rsid w:val="002645A8"/>
    <w:rsid w:val="00264704"/>
    <w:rsid w:val="00264782"/>
    <w:rsid w:val="00264900"/>
    <w:rsid w:val="00264B24"/>
    <w:rsid w:val="00264B40"/>
    <w:rsid w:val="00264B60"/>
    <w:rsid w:val="00264CFA"/>
    <w:rsid w:val="002653B8"/>
    <w:rsid w:val="002654F2"/>
    <w:rsid w:val="00265791"/>
    <w:rsid w:val="00265EFB"/>
    <w:rsid w:val="00266784"/>
    <w:rsid w:val="002667BA"/>
    <w:rsid w:val="00266A1C"/>
    <w:rsid w:val="00266AC3"/>
    <w:rsid w:val="00266BF6"/>
    <w:rsid w:val="0026712C"/>
    <w:rsid w:val="00267217"/>
    <w:rsid w:val="00267471"/>
    <w:rsid w:val="002674BB"/>
    <w:rsid w:val="002675BA"/>
    <w:rsid w:val="00267698"/>
    <w:rsid w:val="0026796B"/>
    <w:rsid w:val="00267D0F"/>
    <w:rsid w:val="00267DC9"/>
    <w:rsid w:val="00267E37"/>
    <w:rsid w:val="00267E98"/>
    <w:rsid w:val="002701E5"/>
    <w:rsid w:val="0027033A"/>
    <w:rsid w:val="0027037A"/>
    <w:rsid w:val="00270464"/>
    <w:rsid w:val="0027063A"/>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3FC8"/>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88C"/>
    <w:rsid w:val="00276AEA"/>
    <w:rsid w:val="00276B43"/>
    <w:rsid w:val="00276B8D"/>
    <w:rsid w:val="00276DA3"/>
    <w:rsid w:val="00276E70"/>
    <w:rsid w:val="0027711C"/>
    <w:rsid w:val="00277147"/>
    <w:rsid w:val="002771C6"/>
    <w:rsid w:val="002771CC"/>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4F7"/>
    <w:rsid w:val="0028465C"/>
    <w:rsid w:val="002846A1"/>
    <w:rsid w:val="00284859"/>
    <w:rsid w:val="00284905"/>
    <w:rsid w:val="00284C10"/>
    <w:rsid w:val="00284F69"/>
    <w:rsid w:val="00285306"/>
    <w:rsid w:val="00285314"/>
    <w:rsid w:val="002856BE"/>
    <w:rsid w:val="00285712"/>
    <w:rsid w:val="0028577F"/>
    <w:rsid w:val="0028584C"/>
    <w:rsid w:val="0028596A"/>
    <w:rsid w:val="00285A00"/>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0CA"/>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BDE"/>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EE0"/>
    <w:rsid w:val="002A2FCD"/>
    <w:rsid w:val="002A30A1"/>
    <w:rsid w:val="002A3686"/>
    <w:rsid w:val="002A368A"/>
    <w:rsid w:val="002A39F2"/>
    <w:rsid w:val="002A3C11"/>
    <w:rsid w:val="002A3D55"/>
    <w:rsid w:val="002A3E48"/>
    <w:rsid w:val="002A3F8D"/>
    <w:rsid w:val="002A41F4"/>
    <w:rsid w:val="002A42CF"/>
    <w:rsid w:val="002A4349"/>
    <w:rsid w:val="002A43C2"/>
    <w:rsid w:val="002A43C6"/>
    <w:rsid w:val="002A43E1"/>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43B"/>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71"/>
    <w:rsid w:val="002B36C4"/>
    <w:rsid w:val="002B37A2"/>
    <w:rsid w:val="002B380B"/>
    <w:rsid w:val="002B389E"/>
    <w:rsid w:val="002B38E4"/>
    <w:rsid w:val="002B3C62"/>
    <w:rsid w:val="002B3E1D"/>
    <w:rsid w:val="002B3E55"/>
    <w:rsid w:val="002B40E6"/>
    <w:rsid w:val="002B41B7"/>
    <w:rsid w:val="002B425C"/>
    <w:rsid w:val="002B4262"/>
    <w:rsid w:val="002B42DF"/>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D2F"/>
    <w:rsid w:val="002B6164"/>
    <w:rsid w:val="002B6176"/>
    <w:rsid w:val="002B646E"/>
    <w:rsid w:val="002B6520"/>
    <w:rsid w:val="002B67FB"/>
    <w:rsid w:val="002B6876"/>
    <w:rsid w:val="002B6A46"/>
    <w:rsid w:val="002B6AE5"/>
    <w:rsid w:val="002B6BC8"/>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ED6"/>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195"/>
    <w:rsid w:val="002C34FA"/>
    <w:rsid w:val="002C354D"/>
    <w:rsid w:val="002C36A2"/>
    <w:rsid w:val="002C38AA"/>
    <w:rsid w:val="002C3A0B"/>
    <w:rsid w:val="002C3B26"/>
    <w:rsid w:val="002C3CFE"/>
    <w:rsid w:val="002C407B"/>
    <w:rsid w:val="002C4310"/>
    <w:rsid w:val="002C43B0"/>
    <w:rsid w:val="002C4B7F"/>
    <w:rsid w:val="002C4C00"/>
    <w:rsid w:val="002C4ECA"/>
    <w:rsid w:val="002C50AE"/>
    <w:rsid w:val="002C5272"/>
    <w:rsid w:val="002C52BB"/>
    <w:rsid w:val="002C5322"/>
    <w:rsid w:val="002C53C5"/>
    <w:rsid w:val="002C5696"/>
    <w:rsid w:val="002C56DB"/>
    <w:rsid w:val="002C580F"/>
    <w:rsid w:val="002C5832"/>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D98"/>
    <w:rsid w:val="002D3EC4"/>
    <w:rsid w:val="002D4101"/>
    <w:rsid w:val="002D42B7"/>
    <w:rsid w:val="002D4461"/>
    <w:rsid w:val="002D451D"/>
    <w:rsid w:val="002D480F"/>
    <w:rsid w:val="002D484C"/>
    <w:rsid w:val="002D4A67"/>
    <w:rsid w:val="002D4A89"/>
    <w:rsid w:val="002D4BBC"/>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D7ED4"/>
    <w:rsid w:val="002E0044"/>
    <w:rsid w:val="002E00FB"/>
    <w:rsid w:val="002E0993"/>
    <w:rsid w:val="002E0A10"/>
    <w:rsid w:val="002E0B22"/>
    <w:rsid w:val="002E0C91"/>
    <w:rsid w:val="002E0D1D"/>
    <w:rsid w:val="002E0FE5"/>
    <w:rsid w:val="002E13AA"/>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21F"/>
    <w:rsid w:val="002E4257"/>
    <w:rsid w:val="002E4723"/>
    <w:rsid w:val="002E4991"/>
    <w:rsid w:val="002E4E06"/>
    <w:rsid w:val="002E51A3"/>
    <w:rsid w:val="002E54A1"/>
    <w:rsid w:val="002E5586"/>
    <w:rsid w:val="002E5875"/>
    <w:rsid w:val="002E58BE"/>
    <w:rsid w:val="002E59B7"/>
    <w:rsid w:val="002E5C25"/>
    <w:rsid w:val="002E6163"/>
    <w:rsid w:val="002E622F"/>
    <w:rsid w:val="002E62DD"/>
    <w:rsid w:val="002E6383"/>
    <w:rsid w:val="002E6675"/>
    <w:rsid w:val="002E6E1F"/>
    <w:rsid w:val="002E6ED1"/>
    <w:rsid w:val="002E6ED6"/>
    <w:rsid w:val="002E6EDD"/>
    <w:rsid w:val="002E70A9"/>
    <w:rsid w:val="002E72A8"/>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43"/>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19"/>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42"/>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098"/>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50"/>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1D9"/>
    <w:rsid w:val="0034225D"/>
    <w:rsid w:val="003425D9"/>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846"/>
    <w:rsid w:val="00345A10"/>
    <w:rsid w:val="00345F57"/>
    <w:rsid w:val="003460FF"/>
    <w:rsid w:val="00346218"/>
    <w:rsid w:val="00346850"/>
    <w:rsid w:val="003469F1"/>
    <w:rsid w:val="00346B32"/>
    <w:rsid w:val="00346C45"/>
    <w:rsid w:val="00346CDC"/>
    <w:rsid w:val="00346D1A"/>
    <w:rsid w:val="00346FDB"/>
    <w:rsid w:val="00347095"/>
    <w:rsid w:val="00347501"/>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4948"/>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D99"/>
    <w:rsid w:val="00361E23"/>
    <w:rsid w:val="00361F38"/>
    <w:rsid w:val="00361FDF"/>
    <w:rsid w:val="003622AC"/>
    <w:rsid w:val="00362303"/>
    <w:rsid w:val="0036251F"/>
    <w:rsid w:val="00362BEA"/>
    <w:rsid w:val="00362DBD"/>
    <w:rsid w:val="00362F4E"/>
    <w:rsid w:val="00362F81"/>
    <w:rsid w:val="0036303C"/>
    <w:rsid w:val="00363098"/>
    <w:rsid w:val="0036320F"/>
    <w:rsid w:val="0036325A"/>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D5F"/>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794"/>
    <w:rsid w:val="003729BC"/>
    <w:rsid w:val="00372A01"/>
    <w:rsid w:val="00372F28"/>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A53"/>
    <w:rsid w:val="00374B83"/>
    <w:rsid w:val="00374C20"/>
    <w:rsid w:val="00374CD7"/>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AA4"/>
    <w:rsid w:val="00377AC7"/>
    <w:rsid w:val="00377DE5"/>
    <w:rsid w:val="00377DF6"/>
    <w:rsid w:val="00377E36"/>
    <w:rsid w:val="00377F4C"/>
    <w:rsid w:val="00377F7E"/>
    <w:rsid w:val="00380483"/>
    <w:rsid w:val="00380501"/>
    <w:rsid w:val="0038054E"/>
    <w:rsid w:val="00380689"/>
    <w:rsid w:val="00380837"/>
    <w:rsid w:val="00380873"/>
    <w:rsid w:val="003808E4"/>
    <w:rsid w:val="00380CB6"/>
    <w:rsid w:val="00380D14"/>
    <w:rsid w:val="00380D52"/>
    <w:rsid w:val="00380E48"/>
    <w:rsid w:val="0038130C"/>
    <w:rsid w:val="003818E3"/>
    <w:rsid w:val="00381AF0"/>
    <w:rsid w:val="00381F0C"/>
    <w:rsid w:val="0038217A"/>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E3"/>
    <w:rsid w:val="00391CA6"/>
    <w:rsid w:val="00391CF0"/>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9F5"/>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2F98"/>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621"/>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5EE"/>
    <w:rsid w:val="003B17FA"/>
    <w:rsid w:val="003B1A0F"/>
    <w:rsid w:val="003B1AC0"/>
    <w:rsid w:val="003B1D6F"/>
    <w:rsid w:val="003B1FE6"/>
    <w:rsid w:val="003B2035"/>
    <w:rsid w:val="003B21DA"/>
    <w:rsid w:val="003B223B"/>
    <w:rsid w:val="003B2502"/>
    <w:rsid w:val="003B2664"/>
    <w:rsid w:val="003B27CC"/>
    <w:rsid w:val="003B2CF2"/>
    <w:rsid w:val="003B2F25"/>
    <w:rsid w:val="003B3002"/>
    <w:rsid w:val="003B30AB"/>
    <w:rsid w:val="003B3E4A"/>
    <w:rsid w:val="003B480C"/>
    <w:rsid w:val="003B486E"/>
    <w:rsid w:val="003B48F2"/>
    <w:rsid w:val="003B4956"/>
    <w:rsid w:val="003B497D"/>
    <w:rsid w:val="003B4AA6"/>
    <w:rsid w:val="003B4E1F"/>
    <w:rsid w:val="003B4E60"/>
    <w:rsid w:val="003B5128"/>
    <w:rsid w:val="003B5268"/>
    <w:rsid w:val="003B5445"/>
    <w:rsid w:val="003B5675"/>
    <w:rsid w:val="003B58A1"/>
    <w:rsid w:val="003B5B4D"/>
    <w:rsid w:val="003B60FB"/>
    <w:rsid w:val="003B619D"/>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11"/>
    <w:rsid w:val="003C1CAF"/>
    <w:rsid w:val="003C23D6"/>
    <w:rsid w:val="003C23E4"/>
    <w:rsid w:val="003C2415"/>
    <w:rsid w:val="003C248A"/>
    <w:rsid w:val="003C264D"/>
    <w:rsid w:val="003C2A7B"/>
    <w:rsid w:val="003C2B3C"/>
    <w:rsid w:val="003C3747"/>
    <w:rsid w:val="003C3B28"/>
    <w:rsid w:val="003C3E67"/>
    <w:rsid w:val="003C40BF"/>
    <w:rsid w:val="003C412E"/>
    <w:rsid w:val="003C417A"/>
    <w:rsid w:val="003C43A6"/>
    <w:rsid w:val="003C43D1"/>
    <w:rsid w:val="003C4515"/>
    <w:rsid w:val="003C46EF"/>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44"/>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7368"/>
    <w:rsid w:val="003D73ED"/>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24"/>
    <w:rsid w:val="003E36B2"/>
    <w:rsid w:val="003E39AD"/>
    <w:rsid w:val="003E3AC3"/>
    <w:rsid w:val="003E3AFB"/>
    <w:rsid w:val="003E3BA5"/>
    <w:rsid w:val="003E3C9E"/>
    <w:rsid w:val="003E3F63"/>
    <w:rsid w:val="003E4725"/>
    <w:rsid w:val="003E4766"/>
    <w:rsid w:val="003E4837"/>
    <w:rsid w:val="003E4893"/>
    <w:rsid w:val="003E49A0"/>
    <w:rsid w:val="003E4AE1"/>
    <w:rsid w:val="003E4BE9"/>
    <w:rsid w:val="003E50C8"/>
    <w:rsid w:val="003E542C"/>
    <w:rsid w:val="003E5628"/>
    <w:rsid w:val="003E56E1"/>
    <w:rsid w:val="003E5907"/>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2191"/>
    <w:rsid w:val="003F21E4"/>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BFA"/>
    <w:rsid w:val="003F5CFF"/>
    <w:rsid w:val="003F6044"/>
    <w:rsid w:val="003F6088"/>
    <w:rsid w:val="003F6454"/>
    <w:rsid w:val="003F66BB"/>
    <w:rsid w:val="003F6817"/>
    <w:rsid w:val="003F6A80"/>
    <w:rsid w:val="003F6D84"/>
    <w:rsid w:val="003F6E46"/>
    <w:rsid w:val="003F6E64"/>
    <w:rsid w:val="003F6E8E"/>
    <w:rsid w:val="003F6EC1"/>
    <w:rsid w:val="003F73F7"/>
    <w:rsid w:val="003F7536"/>
    <w:rsid w:val="003F78D1"/>
    <w:rsid w:val="003F7A69"/>
    <w:rsid w:val="003F7D52"/>
    <w:rsid w:val="003F7EAC"/>
    <w:rsid w:val="00400054"/>
    <w:rsid w:val="0040015A"/>
    <w:rsid w:val="004001A6"/>
    <w:rsid w:val="00400359"/>
    <w:rsid w:val="0040035C"/>
    <w:rsid w:val="004003FA"/>
    <w:rsid w:val="004004FE"/>
    <w:rsid w:val="004005F9"/>
    <w:rsid w:val="00400856"/>
    <w:rsid w:val="00400E91"/>
    <w:rsid w:val="00400EFC"/>
    <w:rsid w:val="00400F0D"/>
    <w:rsid w:val="00401033"/>
    <w:rsid w:val="00401045"/>
    <w:rsid w:val="00401293"/>
    <w:rsid w:val="004012CB"/>
    <w:rsid w:val="00401340"/>
    <w:rsid w:val="00401613"/>
    <w:rsid w:val="004017EC"/>
    <w:rsid w:val="00401A8E"/>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9F7"/>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DA7"/>
    <w:rsid w:val="00437E2E"/>
    <w:rsid w:val="00440015"/>
    <w:rsid w:val="004402E3"/>
    <w:rsid w:val="004406C1"/>
    <w:rsid w:val="004408D1"/>
    <w:rsid w:val="00440DD7"/>
    <w:rsid w:val="00440DED"/>
    <w:rsid w:val="00440EC0"/>
    <w:rsid w:val="00440F5D"/>
    <w:rsid w:val="00441030"/>
    <w:rsid w:val="00441405"/>
    <w:rsid w:val="00441490"/>
    <w:rsid w:val="00441AAC"/>
    <w:rsid w:val="00441B3D"/>
    <w:rsid w:val="00441BFB"/>
    <w:rsid w:val="00441F5B"/>
    <w:rsid w:val="00442243"/>
    <w:rsid w:val="004423DE"/>
    <w:rsid w:val="004423F4"/>
    <w:rsid w:val="0044240E"/>
    <w:rsid w:val="00442543"/>
    <w:rsid w:val="00442A84"/>
    <w:rsid w:val="00442BC6"/>
    <w:rsid w:val="004430BB"/>
    <w:rsid w:val="004431A7"/>
    <w:rsid w:val="00443636"/>
    <w:rsid w:val="0044365F"/>
    <w:rsid w:val="0044383B"/>
    <w:rsid w:val="00443B3F"/>
    <w:rsid w:val="00443B9B"/>
    <w:rsid w:val="00443BD1"/>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AC7"/>
    <w:rsid w:val="00446B58"/>
    <w:rsid w:val="00446C69"/>
    <w:rsid w:val="00446E59"/>
    <w:rsid w:val="004473B1"/>
    <w:rsid w:val="00447D56"/>
    <w:rsid w:val="00447E53"/>
    <w:rsid w:val="00447EB6"/>
    <w:rsid w:val="00447F16"/>
    <w:rsid w:val="0045002D"/>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B51"/>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CE3"/>
    <w:rsid w:val="00457D39"/>
    <w:rsid w:val="00457F6E"/>
    <w:rsid w:val="00457F79"/>
    <w:rsid w:val="00460089"/>
    <w:rsid w:val="00460158"/>
    <w:rsid w:val="00460601"/>
    <w:rsid w:val="00460657"/>
    <w:rsid w:val="00460B89"/>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C3"/>
    <w:rsid w:val="00464C7D"/>
    <w:rsid w:val="00464CE2"/>
    <w:rsid w:val="00464FA8"/>
    <w:rsid w:val="00465122"/>
    <w:rsid w:val="00465359"/>
    <w:rsid w:val="0046546D"/>
    <w:rsid w:val="0046551D"/>
    <w:rsid w:val="00465551"/>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489"/>
    <w:rsid w:val="00474494"/>
    <w:rsid w:val="004747C0"/>
    <w:rsid w:val="00474901"/>
    <w:rsid w:val="00474D4D"/>
    <w:rsid w:val="00474DB4"/>
    <w:rsid w:val="00474E3E"/>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5EE"/>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43F"/>
    <w:rsid w:val="00482D90"/>
    <w:rsid w:val="00482FEF"/>
    <w:rsid w:val="0048309D"/>
    <w:rsid w:val="00483435"/>
    <w:rsid w:val="004835BB"/>
    <w:rsid w:val="00483716"/>
    <w:rsid w:val="00483746"/>
    <w:rsid w:val="004838AA"/>
    <w:rsid w:val="004838E5"/>
    <w:rsid w:val="00483929"/>
    <w:rsid w:val="00483A12"/>
    <w:rsid w:val="00483B99"/>
    <w:rsid w:val="00483CE8"/>
    <w:rsid w:val="00483CED"/>
    <w:rsid w:val="00483EA7"/>
    <w:rsid w:val="004844DB"/>
    <w:rsid w:val="00484762"/>
    <w:rsid w:val="0048479B"/>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714A"/>
    <w:rsid w:val="00487276"/>
    <w:rsid w:val="004877DB"/>
    <w:rsid w:val="00487893"/>
    <w:rsid w:val="004879A9"/>
    <w:rsid w:val="00487BE6"/>
    <w:rsid w:val="004900F7"/>
    <w:rsid w:val="00490150"/>
    <w:rsid w:val="004901C5"/>
    <w:rsid w:val="004901EC"/>
    <w:rsid w:val="00490487"/>
    <w:rsid w:val="004905E8"/>
    <w:rsid w:val="0049072A"/>
    <w:rsid w:val="0049075F"/>
    <w:rsid w:val="00490846"/>
    <w:rsid w:val="00490AEE"/>
    <w:rsid w:val="00490CE2"/>
    <w:rsid w:val="00490F7C"/>
    <w:rsid w:val="004910E9"/>
    <w:rsid w:val="004911DA"/>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EB4"/>
    <w:rsid w:val="00493F7B"/>
    <w:rsid w:val="004940F6"/>
    <w:rsid w:val="004941FC"/>
    <w:rsid w:val="00494240"/>
    <w:rsid w:val="004942E4"/>
    <w:rsid w:val="00494333"/>
    <w:rsid w:val="00494904"/>
    <w:rsid w:val="004949B4"/>
    <w:rsid w:val="00494C2E"/>
    <w:rsid w:val="00494EF5"/>
    <w:rsid w:val="00495188"/>
    <w:rsid w:val="0049534C"/>
    <w:rsid w:val="004958F0"/>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37D"/>
    <w:rsid w:val="004A1636"/>
    <w:rsid w:val="004A1C93"/>
    <w:rsid w:val="004A1F90"/>
    <w:rsid w:val="004A24C2"/>
    <w:rsid w:val="004A273A"/>
    <w:rsid w:val="004A2810"/>
    <w:rsid w:val="004A2945"/>
    <w:rsid w:val="004A29CB"/>
    <w:rsid w:val="004A2C49"/>
    <w:rsid w:val="004A30E8"/>
    <w:rsid w:val="004A3132"/>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3B7"/>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764"/>
    <w:rsid w:val="004B2C16"/>
    <w:rsid w:val="004B2C7A"/>
    <w:rsid w:val="004B2EF7"/>
    <w:rsid w:val="004B2FC6"/>
    <w:rsid w:val="004B350E"/>
    <w:rsid w:val="004B3630"/>
    <w:rsid w:val="004B39DB"/>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80"/>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1C4"/>
    <w:rsid w:val="004C0490"/>
    <w:rsid w:val="004C0721"/>
    <w:rsid w:val="004C100B"/>
    <w:rsid w:val="004C130F"/>
    <w:rsid w:val="004C1409"/>
    <w:rsid w:val="004C147D"/>
    <w:rsid w:val="004C153A"/>
    <w:rsid w:val="004C1627"/>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2E8"/>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B60"/>
    <w:rsid w:val="004D6FC1"/>
    <w:rsid w:val="004D720B"/>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C83"/>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D7"/>
    <w:rsid w:val="004E75E3"/>
    <w:rsid w:val="004E7627"/>
    <w:rsid w:val="004E7761"/>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A5D"/>
    <w:rsid w:val="004F7B83"/>
    <w:rsid w:val="004F7D30"/>
    <w:rsid w:val="004F7DAE"/>
    <w:rsid w:val="0050023C"/>
    <w:rsid w:val="00500AC9"/>
    <w:rsid w:val="00500B45"/>
    <w:rsid w:val="00500DA9"/>
    <w:rsid w:val="00500FA8"/>
    <w:rsid w:val="005013E9"/>
    <w:rsid w:val="00501649"/>
    <w:rsid w:val="00501682"/>
    <w:rsid w:val="005016C9"/>
    <w:rsid w:val="005017FC"/>
    <w:rsid w:val="00501942"/>
    <w:rsid w:val="00501BD4"/>
    <w:rsid w:val="00501E75"/>
    <w:rsid w:val="005022D4"/>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1FA"/>
    <w:rsid w:val="00511373"/>
    <w:rsid w:val="0051152D"/>
    <w:rsid w:val="00511773"/>
    <w:rsid w:val="00511991"/>
    <w:rsid w:val="00511B2D"/>
    <w:rsid w:val="00511BAD"/>
    <w:rsid w:val="00511C30"/>
    <w:rsid w:val="00511F0E"/>
    <w:rsid w:val="005120CB"/>
    <w:rsid w:val="0051216E"/>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0E3"/>
    <w:rsid w:val="0051312A"/>
    <w:rsid w:val="005135BD"/>
    <w:rsid w:val="005135E5"/>
    <w:rsid w:val="005135FB"/>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4A9"/>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7AC"/>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0AC"/>
    <w:rsid w:val="005251CE"/>
    <w:rsid w:val="005251EB"/>
    <w:rsid w:val="005253DB"/>
    <w:rsid w:val="005259A9"/>
    <w:rsid w:val="00525A2C"/>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399"/>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2E9"/>
    <w:rsid w:val="005433E9"/>
    <w:rsid w:val="005434EE"/>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B9"/>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925"/>
    <w:rsid w:val="00556A67"/>
    <w:rsid w:val="00556E9E"/>
    <w:rsid w:val="00557648"/>
    <w:rsid w:val="005577C4"/>
    <w:rsid w:val="00557D30"/>
    <w:rsid w:val="00560344"/>
    <w:rsid w:val="005603D9"/>
    <w:rsid w:val="00560420"/>
    <w:rsid w:val="0056044E"/>
    <w:rsid w:val="0056055F"/>
    <w:rsid w:val="005607CA"/>
    <w:rsid w:val="00560890"/>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4AD"/>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0C"/>
    <w:rsid w:val="00577375"/>
    <w:rsid w:val="0057777F"/>
    <w:rsid w:val="005779CF"/>
    <w:rsid w:val="00577BEE"/>
    <w:rsid w:val="00577DDD"/>
    <w:rsid w:val="00577F3D"/>
    <w:rsid w:val="00577FA5"/>
    <w:rsid w:val="00580073"/>
    <w:rsid w:val="00580669"/>
    <w:rsid w:val="005806BE"/>
    <w:rsid w:val="00580B68"/>
    <w:rsid w:val="00580D5A"/>
    <w:rsid w:val="00580F2F"/>
    <w:rsid w:val="00581066"/>
    <w:rsid w:val="005811FF"/>
    <w:rsid w:val="00581413"/>
    <w:rsid w:val="00581442"/>
    <w:rsid w:val="00581498"/>
    <w:rsid w:val="0058159F"/>
    <w:rsid w:val="00581656"/>
    <w:rsid w:val="005818E6"/>
    <w:rsid w:val="00581D8F"/>
    <w:rsid w:val="00581E63"/>
    <w:rsid w:val="00581F26"/>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45C"/>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6"/>
    <w:rsid w:val="00590CB2"/>
    <w:rsid w:val="00590CFA"/>
    <w:rsid w:val="00590F63"/>
    <w:rsid w:val="005915BE"/>
    <w:rsid w:val="005917C0"/>
    <w:rsid w:val="0059195C"/>
    <w:rsid w:val="00591AE2"/>
    <w:rsid w:val="00591E64"/>
    <w:rsid w:val="0059216A"/>
    <w:rsid w:val="0059252E"/>
    <w:rsid w:val="005925C3"/>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B0A"/>
    <w:rsid w:val="00594DAE"/>
    <w:rsid w:val="00594F05"/>
    <w:rsid w:val="00595335"/>
    <w:rsid w:val="00595416"/>
    <w:rsid w:val="00595436"/>
    <w:rsid w:val="0059548B"/>
    <w:rsid w:val="005955B7"/>
    <w:rsid w:val="00595632"/>
    <w:rsid w:val="00595729"/>
    <w:rsid w:val="00595AAA"/>
    <w:rsid w:val="00595C20"/>
    <w:rsid w:val="00595DE3"/>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CF2"/>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50"/>
    <w:rsid w:val="005A4EB2"/>
    <w:rsid w:val="005A4FD3"/>
    <w:rsid w:val="005A523A"/>
    <w:rsid w:val="005A532E"/>
    <w:rsid w:val="005A536D"/>
    <w:rsid w:val="005A53AD"/>
    <w:rsid w:val="005A5532"/>
    <w:rsid w:val="005A5855"/>
    <w:rsid w:val="005A594D"/>
    <w:rsid w:val="005A5953"/>
    <w:rsid w:val="005A5B16"/>
    <w:rsid w:val="005A5B79"/>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72"/>
    <w:rsid w:val="005B6A92"/>
    <w:rsid w:val="005B6B20"/>
    <w:rsid w:val="005B6BD4"/>
    <w:rsid w:val="005B6C58"/>
    <w:rsid w:val="005B6DDD"/>
    <w:rsid w:val="005B6E54"/>
    <w:rsid w:val="005B7074"/>
    <w:rsid w:val="005B71B7"/>
    <w:rsid w:val="005B7328"/>
    <w:rsid w:val="005B752E"/>
    <w:rsid w:val="005B7605"/>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EF3"/>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702C"/>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C1"/>
    <w:rsid w:val="005D3D2C"/>
    <w:rsid w:val="005D3F21"/>
    <w:rsid w:val="005D434B"/>
    <w:rsid w:val="005D4550"/>
    <w:rsid w:val="005D4579"/>
    <w:rsid w:val="005D45F8"/>
    <w:rsid w:val="005D48E9"/>
    <w:rsid w:val="005D4B6E"/>
    <w:rsid w:val="005D4C8B"/>
    <w:rsid w:val="005D5032"/>
    <w:rsid w:val="005D5407"/>
    <w:rsid w:val="005D5436"/>
    <w:rsid w:val="005D55D2"/>
    <w:rsid w:val="005D5667"/>
    <w:rsid w:val="005D56B2"/>
    <w:rsid w:val="005D56F5"/>
    <w:rsid w:val="005D585B"/>
    <w:rsid w:val="005D5925"/>
    <w:rsid w:val="005D5A5F"/>
    <w:rsid w:val="005D5C6B"/>
    <w:rsid w:val="005D5E06"/>
    <w:rsid w:val="005D5E6C"/>
    <w:rsid w:val="005D6028"/>
    <w:rsid w:val="005D621E"/>
    <w:rsid w:val="005D6354"/>
    <w:rsid w:val="005D66DF"/>
    <w:rsid w:val="005D6848"/>
    <w:rsid w:val="005D68CE"/>
    <w:rsid w:val="005D6B1F"/>
    <w:rsid w:val="005D6B9A"/>
    <w:rsid w:val="005D6BF0"/>
    <w:rsid w:val="005D6D9E"/>
    <w:rsid w:val="005D6E76"/>
    <w:rsid w:val="005D6EF2"/>
    <w:rsid w:val="005D6F75"/>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AC7"/>
    <w:rsid w:val="005E5B6D"/>
    <w:rsid w:val="005E5D33"/>
    <w:rsid w:val="005E6164"/>
    <w:rsid w:val="005E6402"/>
    <w:rsid w:val="005E6430"/>
    <w:rsid w:val="005E6457"/>
    <w:rsid w:val="005E64C2"/>
    <w:rsid w:val="005E6836"/>
    <w:rsid w:val="005E6E35"/>
    <w:rsid w:val="005E6EB7"/>
    <w:rsid w:val="005E7091"/>
    <w:rsid w:val="005E72AA"/>
    <w:rsid w:val="005E73CA"/>
    <w:rsid w:val="005E74F8"/>
    <w:rsid w:val="005E76B5"/>
    <w:rsid w:val="005E792F"/>
    <w:rsid w:val="005E7E29"/>
    <w:rsid w:val="005F035F"/>
    <w:rsid w:val="005F0396"/>
    <w:rsid w:val="005F03BF"/>
    <w:rsid w:val="005F048D"/>
    <w:rsid w:val="005F049F"/>
    <w:rsid w:val="005F0553"/>
    <w:rsid w:val="005F0580"/>
    <w:rsid w:val="005F0801"/>
    <w:rsid w:val="005F0F57"/>
    <w:rsid w:val="005F0FC1"/>
    <w:rsid w:val="005F0FD2"/>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3E3"/>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9F2"/>
    <w:rsid w:val="00611A40"/>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0D"/>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114"/>
    <w:rsid w:val="00623180"/>
    <w:rsid w:val="0062330E"/>
    <w:rsid w:val="00623327"/>
    <w:rsid w:val="0062335C"/>
    <w:rsid w:val="006236F1"/>
    <w:rsid w:val="00623B86"/>
    <w:rsid w:val="00623E9D"/>
    <w:rsid w:val="00624010"/>
    <w:rsid w:val="00624298"/>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A66"/>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60"/>
    <w:rsid w:val="00632FB8"/>
    <w:rsid w:val="006330FD"/>
    <w:rsid w:val="00633302"/>
    <w:rsid w:val="0063330C"/>
    <w:rsid w:val="006333DF"/>
    <w:rsid w:val="0063347B"/>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868"/>
    <w:rsid w:val="00637955"/>
    <w:rsid w:val="00637A0E"/>
    <w:rsid w:val="00637B2E"/>
    <w:rsid w:val="00637D07"/>
    <w:rsid w:val="00640185"/>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06"/>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ACD"/>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E6F"/>
    <w:rsid w:val="00650F31"/>
    <w:rsid w:val="00651076"/>
    <w:rsid w:val="00651223"/>
    <w:rsid w:val="00651373"/>
    <w:rsid w:val="00651490"/>
    <w:rsid w:val="006514DB"/>
    <w:rsid w:val="00651918"/>
    <w:rsid w:val="00651A5C"/>
    <w:rsid w:val="00651D5F"/>
    <w:rsid w:val="00651D6E"/>
    <w:rsid w:val="00651E7E"/>
    <w:rsid w:val="00651EAE"/>
    <w:rsid w:val="00652258"/>
    <w:rsid w:val="006523E8"/>
    <w:rsid w:val="006525C5"/>
    <w:rsid w:val="006527C8"/>
    <w:rsid w:val="006528E9"/>
    <w:rsid w:val="00652BB4"/>
    <w:rsid w:val="00652FC4"/>
    <w:rsid w:val="00653144"/>
    <w:rsid w:val="0065319F"/>
    <w:rsid w:val="00653437"/>
    <w:rsid w:val="006534F4"/>
    <w:rsid w:val="006536C4"/>
    <w:rsid w:val="0065371E"/>
    <w:rsid w:val="00653901"/>
    <w:rsid w:val="00653BC7"/>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CD"/>
    <w:rsid w:val="00655F67"/>
    <w:rsid w:val="00656011"/>
    <w:rsid w:val="006563B4"/>
    <w:rsid w:val="006566F9"/>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0F"/>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53"/>
    <w:rsid w:val="006645FE"/>
    <w:rsid w:val="0066462C"/>
    <w:rsid w:val="00664CA5"/>
    <w:rsid w:val="00665170"/>
    <w:rsid w:val="006654E8"/>
    <w:rsid w:val="00665803"/>
    <w:rsid w:val="006659C6"/>
    <w:rsid w:val="00665A65"/>
    <w:rsid w:val="00665B53"/>
    <w:rsid w:val="00665C03"/>
    <w:rsid w:val="00666097"/>
    <w:rsid w:val="0066624C"/>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66"/>
    <w:rsid w:val="006708B6"/>
    <w:rsid w:val="00670C2C"/>
    <w:rsid w:val="00670DCD"/>
    <w:rsid w:val="00670E7B"/>
    <w:rsid w:val="00671152"/>
    <w:rsid w:val="00671194"/>
    <w:rsid w:val="006713DA"/>
    <w:rsid w:val="00671824"/>
    <w:rsid w:val="00671A0D"/>
    <w:rsid w:val="00671AEA"/>
    <w:rsid w:val="00671C19"/>
    <w:rsid w:val="00671CB1"/>
    <w:rsid w:val="006722AE"/>
    <w:rsid w:val="006723AC"/>
    <w:rsid w:val="006724BA"/>
    <w:rsid w:val="006725C5"/>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4FF6"/>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121"/>
    <w:rsid w:val="00683238"/>
    <w:rsid w:val="00683471"/>
    <w:rsid w:val="006834FA"/>
    <w:rsid w:val="006835A5"/>
    <w:rsid w:val="0068374C"/>
    <w:rsid w:val="006839F5"/>
    <w:rsid w:val="00683C9D"/>
    <w:rsid w:val="00684355"/>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090"/>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63F"/>
    <w:rsid w:val="006A2721"/>
    <w:rsid w:val="006A292C"/>
    <w:rsid w:val="006A2975"/>
    <w:rsid w:val="006A2E46"/>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0"/>
    <w:rsid w:val="006A56AF"/>
    <w:rsid w:val="006A572F"/>
    <w:rsid w:val="006A59DB"/>
    <w:rsid w:val="006A619C"/>
    <w:rsid w:val="006A62BD"/>
    <w:rsid w:val="006A638B"/>
    <w:rsid w:val="006A66D1"/>
    <w:rsid w:val="006A6958"/>
    <w:rsid w:val="006A6973"/>
    <w:rsid w:val="006A697A"/>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A7E5F"/>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2C2"/>
    <w:rsid w:val="006C4360"/>
    <w:rsid w:val="006C44AB"/>
    <w:rsid w:val="006C44F0"/>
    <w:rsid w:val="006C453E"/>
    <w:rsid w:val="006C4872"/>
    <w:rsid w:val="006C4980"/>
    <w:rsid w:val="006C4C23"/>
    <w:rsid w:val="006C4E9A"/>
    <w:rsid w:val="006C512C"/>
    <w:rsid w:val="006C52A4"/>
    <w:rsid w:val="006C55E2"/>
    <w:rsid w:val="006C5614"/>
    <w:rsid w:val="006C57C2"/>
    <w:rsid w:val="006C57DE"/>
    <w:rsid w:val="006C58E0"/>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D65"/>
    <w:rsid w:val="006D20DB"/>
    <w:rsid w:val="006D21DA"/>
    <w:rsid w:val="006D25B3"/>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11A"/>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4FD2"/>
    <w:rsid w:val="006F5283"/>
    <w:rsid w:val="006F542F"/>
    <w:rsid w:val="006F55DB"/>
    <w:rsid w:val="006F5728"/>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198"/>
    <w:rsid w:val="007012FE"/>
    <w:rsid w:val="007013AD"/>
    <w:rsid w:val="00701655"/>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9F8"/>
    <w:rsid w:val="00704A5A"/>
    <w:rsid w:val="00704D75"/>
    <w:rsid w:val="00704FDF"/>
    <w:rsid w:val="007052A4"/>
    <w:rsid w:val="0070538F"/>
    <w:rsid w:val="00705549"/>
    <w:rsid w:val="007059BB"/>
    <w:rsid w:val="00705A2C"/>
    <w:rsid w:val="00705AC9"/>
    <w:rsid w:val="00705B8F"/>
    <w:rsid w:val="00705C10"/>
    <w:rsid w:val="00705C65"/>
    <w:rsid w:val="00705CF6"/>
    <w:rsid w:val="00705E8D"/>
    <w:rsid w:val="00705F1B"/>
    <w:rsid w:val="0070617E"/>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C39"/>
    <w:rsid w:val="00710DF6"/>
    <w:rsid w:val="00710E55"/>
    <w:rsid w:val="00711167"/>
    <w:rsid w:val="0071144C"/>
    <w:rsid w:val="00711558"/>
    <w:rsid w:val="0071164F"/>
    <w:rsid w:val="007117E0"/>
    <w:rsid w:val="0071185C"/>
    <w:rsid w:val="00711DE3"/>
    <w:rsid w:val="00711FEF"/>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57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88B"/>
    <w:rsid w:val="00740A2B"/>
    <w:rsid w:val="00740A8B"/>
    <w:rsid w:val="00740F28"/>
    <w:rsid w:val="00741013"/>
    <w:rsid w:val="00741712"/>
    <w:rsid w:val="007419EE"/>
    <w:rsid w:val="00741A5E"/>
    <w:rsid w:val="00741CCC"/>
    <w:rsid w:val="00742141"/>
    <w:rsid w:val="0074221D"/>
    <w:rsid w:val="0074224C"/>
    <w:rsid w:val="00742252"/>
    <w:rsid w:val="0074263F"/>
    <w:rsid w:val="007426B7"/>
    <w:rsid w:val="007426C4"/>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9A"/>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6C6"/>
    <w:rsid w:val="00760816"/>
    <w:rsid w:val="007608C6"/>
    <w:rsid w:val="00760C0D"/>
    <w:rsid w:val="00760FB1"/>
    <w:rsid w:val="007612CA"/>
    <w:rsid w:val="00761924"/>
    <w:rsid w:val="00761A15"/>
    <w:rsid w:val="00761A4D"/>
    <w:rsid w:val="00761ADD"/>
    <w:rsid w:val="00761DFA"/>
    <w:rsid w:val="00761E2D"/>
    <w:rsid w:val="00761EA7"/>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7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2A1"/>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EC9"/>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EE2"/>
    <w:rsid w:val="00782F60"/>
    <w:rsid w:val="00782FD8"/>
    <w:rsid w:val="00783091"/>
    <w:rsid w:val="007831A8"/>
    <w:rsid w:val="00783302"/>
    <w:rsid w:val="0078339C"/>
    <w:rsid w:val="00783429"/>
    <w:rsid w:val="00783ACD"/>
    <w:rsid w:val="00783BC4"/>
    <w:rsid w:val="00783BD9"/>
    <w:rsid w:val="00783D2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CA5"/>
    <w:rsid w:val="00787E5B"/>
    <w:rsid w:val="00787EC9"/>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46D"/>
    <w:rsid w:val="00794785"/>
    <w:rsid w:val="007948BF"/>
    <w:rsid w:val="00794928"/>
    <w:rsid w:val="00794A1C"/>
    <w:rsid w:val="00794AB9"/>
    <w:rsid w:val="00794B55"/>
    <w:rsid w:val="00794CC0"/>
    <w:rsid w:val="00794E05"/>
    <w:rsid w:val="00794EE4"/>
    <w:rsid w:val="00795104"/>
    <w:rsid w:val="0079554B"/>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269"/>
    <w:rsid w:val="0079766C"/>
    <w:rsid w:val="007976C5"/>
    <w:rsid w:val="00797773"/>
    <w:rsid w:val="00797C4B"/>
    <w:rsid w:val="00797DF7"/>
    <w:rsid w:val="007A019B"/>
    <w:rsid w:val="007A0367"/>
    <w:rsid w:val="007A04BC"/>
    <w:rsid w:val="007A0599"/>
    <w:rsid w:val="007A082D"/>
    <w:rsid w:val="007A08DE"/>
    <w:rsid w:val="007A0D87"/>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8B7"/>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06"/>
    <w:rsid w:val="007B3E21"/>
    <w:rsid w:val="007B3E31"/>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7CC"/>
    <w:rsid w:val="007C6835"/>
    <w:rsid w:val="007C688F"/>
    <w:rsid w:val="007C7402"/>
    <w:rsid w:val="007C7907"/>
    <w:rsid w:val="007C796E"/>
    <w:rsid w:val="007C7B60"/>
    <w:rsid w:val="007C7CD2"/>
    <w:rsid w:val="007C7CE3"/>
    <w:rsid w:val="007C7D88"/>
    <w:rsid w:val="007C7E38"/>
    <w:rsid w:val="007C7E6D"/>
    <w:rsid w:val="007C7E94"/>
    <w:rsid w:val="007C7F32"/>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D3F"/>
    <w:rsid w:val="007D3D4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888"/>
    <w:rsid w:val="007D59E9"/>
    <w:rsid w:val="007D5BCF"/>
    <w:rsid w:val="007D6076"/>
    <w:rsid w:val="007D61CD"/>
    <w:rsid w:val="007D67D4"/>
    <w:rsid w:val="007D67D5"/>
    <w:rsid w:val="007D6A25"/>
    <w:rsid w:val="007D6A84"/>
    <w:rsid w:val="007D6ADF"/>
    <w:rsid w:val="007D6EB6"/>
    <w:rsid w:val="007D7001"/>
    <w:rsid w:val="007D76B6"/>
    <w:rsid w:val="007D7717"/>
    <w:rsid w:val="007D7A89"/>
    <w:rsid w:val="007D7A8A"/>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1F5"/>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1F89"/>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905"/>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6F9B"/>
    <w:rsid w:val="0081721F"/>
    <w:rsid w:val="008172C2"/>
    <w:rsid w:val="0081733D"/>
    <w:rsid w:val="0081746B"/>
    <w:rsid w:val="00817827"/>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949"/>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744"/>
    <w:rsid w:val="00832890"/>
    <w:rsid w:val="0083290A"/>
    <w:rsid w:val="00832F7A"/>
    <w:rsid w:val="008334A0"/>
    <w:rsid w:val="008337A3"/>
    <w:rsid w:val="0083395D"/>
    <w:rsid w:val="00834EE2"/>
    <w:rsid w:val="00834F3A"/>
    <w:rsid w:val="0083530C"/>
    <w:rsid w:val="00835420"/>
    <w:rsid w:val="00835645"/>
    <w:rsid w:val="0083566F"/>
    <w:rsid w:val="00835753"/>
    <w:rsid w:val="00835A5F"/>
    <w:rsid w:val="00835B7E"/>
    <w:rsid w:val="00835B8F"/>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06F"/>
    <w:rsid w:val="00846136"/>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5E6"/>
    <w:rsid w:val="008527C5"/>
    <w:rsid w:val="00852842"/>
    <w:rsid w:val="0085291D"/>
    <w:rsid w:val="00852EA6"/>
    <w:rsid w:val="00852F47"/>
    <w:rsid w:val="0085329A"/>
    <w:rsid w:val="00853515"/>
    <w:rsid w:val="008536A0"/>
    <w:rsid w:val="0085385B"/>
    <w:rsid w:val="008538C5"/>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7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42E"/>
    <w:rsid w:val="00857749"/>
    <w:rsid w:val="00857889"/>
    <w:rsid w:val="0085793E"/>
    <w:rsid w:val="00857AF5"/>
    <w:rsid w:val="008600D4"/>
    <w:rsid w:val="00860211"/>
    <w:rsid w:val="00860614"/>
    <w:rsid w:val="0086081D"/>
    <w:rsid w:val="00860AE9"/>
    <w:rsid w:val="00860BD7"/>
    <w:rsid w:val="008611C9"/>
    <w:rsid w:val="008613B8"/>
    <w:rsid w:val="0086169B"/>
    <w:rsid w:val="008618B4"/>
    <w:rsid w:val="008618FA"/>
    <w:rsid w:val="00861B50"/>
    <w:rsid w:val="00861B6C"/>
    <w:rsid w:val="00861C42"/>
    <w:rsid w:val="00861C46"/>
    <w:rsid w:val="00861C4F"/>
    <w:rsid w:val="00861D04"/>
    <w:rsid w:val="00861D84"/>
    <w:rsid w:val="00862420"/>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4EF"/>
    <w:rsid w:val="00867712"/>
    <w:rsid w:val="00867D59"/>
    <w:rsid w:val="00867D83"/>
    <w:rsid w:val="00867E81"/>
    <w:rsid w:val="00870274"/>
    <w:rsid w:val="0087029B"/>
    <w:rsid w:val="008703F6"/>
    <w:rsid w:val="00870639"/>
    <w:rsid w:val="008707D3"/>
    <w:rsid w:val="00870A44"/>
    <w:rsid w:val="00870A5B"/>
    <w:rsid w:val="00870AAE"/>
    <w:rsid w:val="00870C9E"/>
    <w:rsid w:val="00870DD2"/>
    <w:rsid w:val="0087125E"/>
    <w:rsid w:val="00871464"/>
    <w:rsid w:val="0087146D"/>
    <w:rsid w:val="00871528"/>
    <w:rsid w:val="0087189E"/>
    <w:rsid w:val="00871A32"/>
    <w:rsid w:val="00871D4E"/>
    <w:rsid w:val="00871D7D"/>
    <w:rsid w:val="00871F01"/>
    <w:rsid w:val="00871FF7"/>
    <w:rsid w:val="008720C0"/>
    <w:rsid w:val="008727CF"/>
    <w:rsid w:val="008727D4"/>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53B"/>
    <w:rsid w:val="00890728"/>
    <w:rsid w:val="00890780"/>
    <w:rsid w:val="00890812"/>
    <w:rsid w:val="00890A87"/>
    <w:rsid w:val="00890FAB"/>
    <w:rsid w:val="0089125B"/>
    <w:rsid w:val="008912F8"/>
    <w:rsid w:val="0089130C"/>
    <w:rsid w:val="00891748"/>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46"/>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695"/>
    <w:rsid w:val="008B18FF"/>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44B"/>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270"/>
    <w:rsid w:val="008B5785"/>
    <w:rsid w:val="008B59C0"/>
    <w:rsid w:val="008B5AB2"/>
    <w:rsid w:val="008B5FFB"/>
    <w:rsid w:val="008B6354"/>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DA"/>
    <w:rsid w:val="008C1FCF"/>
    <w:rsid w:val="008C20AA"/>
    <w:rsid w:val="008C226E"/>
    <w:rsid w:val="008C228E"/>
    <w:rsid w:val="008C2431"/>
    <w:rsid w:val="008C245A"/>
    <w:rsid w:val="008C25BB"/>
    <w:rsid w:val="008C2847"/>
    <w:rsid w:val="008C29A0"/>
    <w:rsid w:val="008C2C38"/>
    <w:rsid w:val="008C2D87"/>
    <w:rsid w:val="008C2E0B"/>
    <w:rsid w:val="008C30E5"/>
    <w:rsid w:val="008C31C7"/>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CE4"/>
    <w:rsid w:val="008D4D0E"/>
    <w:rsid w:val="008D4ED8"/>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C99"/>
    <w:rsid w:val="008D6D26"/>
    <w:rsid w:val="008D6F8B"/>
    <w:rsid w:val="008D6FAF"/>
    <w:rsid w:val="008D70BC"/>
    <w:rsid w:val="008D7301"/>
    <w:rsid w:val="008D74A9"/>
    <w:rsid w:val="008D7582"/>
    <w:rsid w:val="008D7609"/>
    <w:rsid w:val="008D7A32"/>
    <w:rsid w:val="008D7B06"/>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7C8"/>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5B6"/>
    <w:rsid w:val="008F0795"/>
    <w:rsid w:val="008F084E"/>
    <w:rsid w:val="008F08B0"/>
    <w:rsid w:val="008F0F1F"/>
    <w:rsid w:val="008F0FEA"/>
    <w:rsid w:val="008F12BF"/>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10"/>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7D"/>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C4B"/>
    <w:rsid w:val="00906D3B"/>
    <w:rsid w:val="00906E61"/>
    <w:rsid w:val="00907066"/>
    <w:rsid w:val="0090717F"/>
    <w:rsid w:val="009075C0"/>
    <w:rsid w:val="00907B53"/>
    <w:rsid w:val="00907D56"/>
    <w:rsid w:val="00907DC8"/>
    <w:rsid w:val="00910070"/>
    <w:rsid w:val="00910091"/>
    <w:rsid w:val="0091013C"/>
    <w:rsid w:val="00910647"/>
    <w:rsid w:val="00910723"/>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DC9"/>
    <w:rsid w:val="00913F2E"/>
    <w:rsid w:val="00913FB0"/>
    <w:rsid w:val="00914434"/>
    <w:rsid w:val="00914541"/>
    <w:rsid w:val="00914ADC"/>
    <w:rsid w:val="00914B9E"/>
    <w:rsid w:val="00914C92"/>
    <w:rsid w:val="00914CBD"/>
    <w:rsid w:val="00914CD6"/>
    <w:rsid w:val="00914E6A"/>
    <w:rsid w:val="0091551F"/>
    <w:rsid w:val="00915CA8"/>
    <w:rsid w:val="00915F49"/>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5D"/>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E6"/>
    <w:rsid w:val="009228FA"/>
    <w:rsid w:val="00922A06"/>
    <w:rsid w:val="00922AA6"/>
    <w:rsid w:val="00922BE5"/>
    <w:rsid w:val="00922C9F"/>
    <w:rsid w:val="00923034"/>
    <w:rsid w:val="009231DA"/>
    <w:rsid w:val="00923234"/>
    <w:rsid w:val="009234BF"/>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50FE"/>
    <w:rsid w:val="009251DE"/>
    <w:rsid w:val="009252B9"/>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70"/>
    <w:rsid w:val="00942A0D"/>
    <w:rsid w:val="00942BC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42"/>
    <w:rsid w:val="009533F0"/>
    <w:rsid w:val="0095370F"/>
    <w:rsid w:val="00953740"/>
    <w:rsid w:val="009538E8"/>
    <w:rsid w:val="00953904"/>
    <w:rsid w:val="00953A28"/>
    <w:rsid w:val="00953C20"/>
    <w:rsid w:val="00953EB0"/>
    <w:rsid w:val="00954128"/>
    <w:rsid w:val="00954189"/>
    <w:rsid w:val="009547A7"/>
    <w:rsid w:val="00954DB9"/>
    <w:rsid w:val="00954F12"/>
    <w:rsid w:val="0095502C"/>
    <w:rsid w:val="00955C13"/>
    <w:rsid w:val="00955DA2"/>
    <w:rsid w:val="00956060"/>
    <w:rsid w:val="009561D9"/>
    <w:rsid w:val="0095632F"/>
    <w:rsid w:val="0095634D"/>
    <w:rsid w:val="00956636"/>
    <w:rsid w:val="00956DAB"/>
    <w:rsid w:val="00957141"/>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26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4D"/>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B23"/>
    <w:rsid w:val="00970C01"/>
    <w:rsid w:val="00970E59"/>
    <w:rsid w:val="009710CD"/>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5EE"/>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63C0"/>
    <w:rsid w:val="00976691"/>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20D0"/>
    <w:rsid w:val="00982121"/>
    <w:rsid w:val="0098229E"/>
    <w:rsid w:val="00982649"/>
    <w:rsid w:val="009828C1"/>
    <w:rsid w:val="00982AB7"/>
    <w:rsid w:val="00982C2F"/>
    <w:rsid w:val="00982E88"/>
    <w:rsid w:val="009836AB"/>
    <w:rsid w:val="009836F3"/>
    <w:rsid w:val="009839ED"/>
    <w:rsid w:val="00983DF4"/>
    <w:rsid w:val="009840B2"/>
    <w:rsid w:val="009841EB"/>
    <w:rsid w:val="0098446D"/>
    <w:rsid w:val="00984587"/>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2FE"/>
    <w:rsid w:val="00991658"/>
    <w:rsid w:val="00991789"/>
    <w:rsid w:val="009917E4"/>
    <w:rsid w:val="00991E1D"/>
    <w:rsid w:val="00991FB8"/>
    <w:rsid w:val="009920BF"/>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86"/>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446"/>
    <w:rsid w:val="009A0512"/>
    <w:rsid w:val="009A0D3B"/>
    <w:rsid w:val="009A0F97"/>
    <w:rsid w:val="009A133D"/>
    <w:rsid w:val="009A139E"/>
    <w:rsid w:val="009A151C"/>
    <w:rsid w:val="009A1919"/>
    <w:rsid w:val="009A1ADC"/>
    <w:rsid w:val="009A1BF5"/>
    <w:rsid w:val="009A1E5C"/>
    <w:rsid w:val="009A1F26"/>
    <w:rsid w:val="009A2147"/>
    <w:rsid w:val="009A23A3"/>
    <w:rsid w:val="009A251B"/>
    <w:rsid w:val="009A2618"/>
    <w:rsid w:val="009A2740"/>
    <w:rsid w:val="009A2765"/>
    <w:rsid w:val="009A2841"/>
    <w:rsid w:val="009A288A"/>
    <w:rsid w:val="009A2894"/>
    <w:rsid w:val="009A2AEF"/>
    <w:rsid w:val="009A2B0E"/>
    <w:rsid w:val="009A2BB8"/>
    <w:rsid w:val="009A2DBD"/>
    <w:rsid w:val="009A2DC9"/>
    <w:rsid w:val="009A3288"/>
    <w:rsid w:val="009A3307"/>
    <w:rsid w:val="009A348B"/>
    <w:rsid w:val="009A373A"/>
    <w:rsid w:val="009A3F6E"/>
    <w:rsid w:val="009A4086"/>
    <w:rsid w:val="009A496E"/>
    <w:rsid w:val="009A4BFB"/>
    <w:rsid w:val="009A4C5A"/>
    <w:rsid w:val="009A4D1D"/>
    <w:rsid w:val="009A5244"/>
    <w:rsid w:val="009A534F"/>
    <w:rsid w:val="009A5429"/>
    <w:rsid w:val="009A5677"/>
    <w:rsid w:val="009A585D"/>
    <w:rsid w:val="009A59E9"/>
    <w:rsid w:val="009A5D2A"/>
    <w:rsid w:val="009A5E2B"/>
    <w:rsid w:val="009A62D2"/>
    <w:rsid w:val="009A6737"/>
    <w:rsid w:val="009A6B12"/>
    <w:rsid w:val="009A6E3E"/>
    <w:rsid w:val="009A715B"/>
    <w:rsid w:val="009A720E"/>
    <w:rsid w:val="009A72D1"/>
    <w:rsid w:val="009A73D5"/>
    <w:rsid w:val="009A76CA"/>
    <w:rsid w:val="009A7727"/>
    <w:rsid w:val="009A778D"/>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B7EAD"/>
    <w:rsid w:val="009C004B"/>
    <w:rsid w:val="009C02F4"/>
    <w:rsid w:val="009C0529"/>
    <w:rsid w:val="009C08FE"/>
    <w:rsid w:val="009C0B37"/>
    <w:rsid w:val="009C0E08"/>
    <w:rsid w:val="009C113D"/>
    <w:rsid w:val="009C11C0"/>
    <w:rsid w:val="009C15F0"/>
    <w:rsid w:val="009C16A5"/>
    <w:rsid w:val="009C1993"/>
    <w:rsid w:val="009C199B"/>
    <w:rsid w:val="009C1D73"/>
    <w:rsid w:val="009C1D81"/>
    <w:rsid w:val="009C1D8C"/>
    <w:rsid w:val="009C1FBB"/>
    <w:rsid w:val="009C1FCE"/>
    <w:rsid w:val="009C2579"/>
    <w:rsid w:val="009C2819"/>
    <w:rsid w:val="009C2AD3"/>
    <w:rsid w:val="009C2E42"/>
    <w:rsid w:val="009C2E75"/>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1098"/>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533"/>
    <w:rsid w:val="009E398D"/>
    <w:rsid w:val="009E39AA"/>
    <w:rsid w:val="009E4A6A"/>
    <w:rsid w:val="009E4BD0"/>
    <w:rsid w:val="009E505E"/>
    <w:rsid w:val="009E51F0"/>
    <w:rsid w:val="009E53B0"/>
    <w:rsid w:val="009E5427"/>
    <w:rsid w:val="009E54C2"/>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2BC"/>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19E"/>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37F"/>
    <w:rsid w:val="00A108F7"/>
    <w:rsid w:val="00A10914"/>
    <w:rsid w:val="00A10A9E"/>
    <w:rsid w:val="00A10CD3"/>
    <w:rsid w:val="00A10D24"/>
    <w:rsid w:val="00A10DA0"/>
    <w:rsid w:val="00A10F73"/>
    <w:rsid w:val="00A113F3"/>
    <w:rsid w:val="00A115BF"/>
    <w:rsid w:val="00A11863"/>
    <w:rsid w:val="00A118FA"/>
    <w:rsid w:val="00A11A14"/>
    <w:rsid w:val="00A11A26"/>
    <w:rsid w:val="00A11A61"/>
    <w:rsid w:val="00A11AD2"/>
    <w:rsid w:val="00A11B95"/>
    <w:rsid w:val="00A11C1E"/>
    <w:rsid w:val="00A11F12"/>
    <w:rsid w:val="00A11FD6"/>
    <w:rsid w:val="00A123DD"/>
    <w:rsid w:val="00A12425"/>
    <w:rsid w:val="00A12641"/>
    <w:rsid w:val="00A126A9"/>
    <w:rsid w:val="00A1279B"/>
    <w:rsid w:val="00A12815"/>
    <w:rsid w:val="00A128F8"/>
    <w:rsid w:val="00A12AB9"/>
    <w:rsid w:val="00A12C35"/>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57"/>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6EDD"/>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3F"/>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0E4"/>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176"/>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37F9F"/>
    <w:rsid w:val="00A40110"/>
    <w:rsid w:val="00A40405"/>
    <w:rsid w:val="00A40430"/>
    <w:rsid w:val="00A404D5"/>
    <w:rsid w:val="00A40558"/>
    <w:rsid w:val="00A409B7"/>
    <w:rsid w:val="00A40AED"/>
    <w:rsid w:val="00A40B5C"/>
    <w:rsid w:val="00A40BE8"/>
    <w:rsid w:val="00A40C65"/>
    <w:rsid w:val="00A40DFC"/>
    <w:rsid w:val="00A41273"/>
    <w:rsid w:val="00A415E6"/>
    <w:rsid w:val="00A41676"/>
    <w:rsid w:val="00A41AB4"/>
    <w:rsid w:val="00A41D6D"/>
    <w:rsid w:val="00A41EFA"/>
    <w:rsid w:val="00A4237E"/>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575"/>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B2F"/>
    <w:rsid w:val="00A54C74"/>
    <w:rsid w:val="00A54D26"/>
    <w:rsid w:val="00A54D4F"/>
    <w:rsid w:val="00A54E86"/>
    <w:rsid w:val="00A54F48"/>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94E"/>
    <w:rsid w:val="00A62ACB"/>
    <w:rsid w:val="00A633A4"/>
    <w:rsid w:val="00A6374D"/>
    <w:rsid w:val="00A637DE"/>
    <w:rsid w:val="00A638C5"/>
    <w:rsid w:val="00A638FA"/>
    <w:rsid w:val="00A63900"/>
    <w:rsid w:val="00A63A44"/>
    <w:rsid w:val="00A63B68"/>
    <w:rsid w:val="00A63CEF"/>
    <w:rsid w:val="00A64055"/>
    <w:rsid w:val="00A640A0"/>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C35"/>
    <w:rsid w:val="00A67D58"/>
    <w:rsid w:val="00A70290"/>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9D0"/>
    <w:rsid w:val="00A72B08"/>
    <w:rsid w:val="00A72CAD"/>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389"/>
    <w:rsid w:val="00A76517"/>
    <w:rsid w:val="00A7660C"/>
    <w:rsid w:val="00A7663F"/>
    <w:rsid w:val="00A7683C"/>
    <w:rsid w:val="00A76A95"/>
    <w:rsid w:val="00A76C12"/>
    <w:rsid w:val="00A76C51"/>
    <w:rsid w:val="00A76EF3"/>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533"/>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806"/>
    <w:rsid w:val="00A92DAC"/>
    <w:rsid w:val="00A92DF9"/>
    <w:rsid w:val="00A92EF0"/>
    <w:rsid w:val="00A93101"/>
    <w:rsid w:val="00A9338F"/>
    <w:rsid w:val="00A935BD"/>
    <w:rsid w:val="00A93D0E"/>
    <w:rsid w:val="00A93F0B"/>
    <w:rsid w:val="00A93F4F"/>
    <w:rsid w:val="00A940DF"/>
    <w:rsid w:val="00A9421F"/>
    <w:rsid w:val="00A94354"/>
    <w:rsid w:val="00A946D6"/>
    <w:rsid w:val="00A94843"/>
    <w:rsid w:val="00A94BD7"/>
    <w:rsid w:val="00A94DED"/>
    <w:rsid w:val="00A94EA5"/>
    <w:rsid w:val="00A94F39"/>
    <w:rsid w:val="00A950FC"/>
    <w:rsid w:val="00A95198"/>
    <w:rsid w:val="00A95962"/>
    <w:rsid w:val="00A95C7A"/>
    <w:rsid w:val="00A95CA5"/>
    <w:rsid w:val="00A95E7D"/>
    <w:rsid w:val="00A961B5"/>
    <w:rsid w:val="00A96464"/>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45"/>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AA3"/>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96"/>
    <w:rsid w:val="00AB595D"/>
    <w:rsid w:val="00AB5A1A"/>
    <w:rsid w:val="00AB5ADA"/>
    <w:rsid w:val="00AB5B29"/>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DC"/>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00"/>
    <w:rsid w:val="00AC1B93"/>
    <w:rsid w:val="00AC20E6"/>
    <w:rsid w:val="00AC210F"/>
    <w:rsid w:val="00AC23F5"/>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668"/>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4B9"/>
    <w:rsid w:val="00AD176A"/>
    <w:rsid w:val="00AD1808"/>
    <w:rsid w:val="00AD19BD"/>
    <w:rsid w:val="00AD1AFF"/>
    <w:rsid w:val="00AD209C"/>
    <w:rsid w:val="00AD22E2"/>
    <w:rsid w:val="00AD235D"/>
    <w:rsid w:val="00AD2668"/>
    <w:rsid w:val="00AD293E"/>
    <w:rsid w:val="00AD29ED"/>
    <w:rsid w:val="00AD2D4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3C9"/>
    <w:rsid w:val="00AD75BF"/>
    <w:rsid w:val="00AD764F"/>
    <w:rsid w:val="00AD76E3"/>
    <w:rsid w:val="00AD77CA"/>
    <w:rsid w:val="00AD78E8"/>
    <w:rsid w:val="00AD79A7"/>
    <w:rsid w:val="00AD7A28"/>
    <w:rsid w:val="00AD7CE7"/>
    <w:rsid w:val="00AD7F1E"/>
    <w:rsid w:val="00AD7F21"/>
    <w:rsid w:val="00AD7F73"/>
    <w:rsid w:val="00AE0298"/>
    <w:rsid w:val="00AE038C"/>
    <w:rsid w:val="00AE047F"/>
    <w:rsid w:val="00AE075D"/>
    <w:rsid w:val="00AE08B3"/>
    <w:rsid w:val="00AE0A6D"/>
    <w:rsid w:val="00AE0B6E"/>
    <w:rsid w:val="00AE0C70"/>
    <w:rsid w:val="00AE0D0A"/>
    <w:rsid w:val="00AE0F81"/>
    <w:rsid w:val="00AE1330"/>
    <w:rsid w:val="00AE15DB"/>
    <w:rsid w:val="00AE1634"/>
    <w:rsid w:val="00AE16FE"/>
    <w:rsid w:val="00AE1733"/>
    <w:rsid w:val="00AE17FC"/>
    <w:rsid w:val="00AE1A0B"/>
    <w:rsid w:val="00AE1AFB"/>
    <w:rsid w:val="00AE1FE4"/>
    <w:rsid w:val="00AE235F"/>
    <w:rsid w:val="00AE262B"/>
    <w:rsid w:val="00AE27F4"/>
    <w:rsid w:val="00AE27F9"/>
    <w:rsid w:val="00AE2C2B"/>
    <w:rsid w:val="00AE3058"/>
    <w:rsid w:val="00AE3310"/>
    <w:rsid w:val="00AE354F"/>
    <w:rsid w:val="00AE37A1"/>
    <w:rsid w:val="00AE3956"/>
    <w:rsid w:val="00AE3A4F"/>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0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75B"/>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B8"/>
    <w:rsid w:val="00AF37FA"/>
    <w:rsid w:val="00AF38BE"/>
    <w:rsid w:val="00AF3928"/>
    <w:rsid w:val="00AF3B06"/>
    <w:rsid w:val="00AF3D18"/>
    <w:rsid w:val="00AF40A0"/>
    <w:rsid w:val="00AF44F8"/>
    <w:rsid w:val="00AF4514"/>
    <w:rsid w:val="00AF46C4"/>
    <w:rsid w:val="00AF46C7"/>
    <w:rsid w:val="00AF4717"/>
    <w:rsid w:val="00AF4956"/>
    <w:rsid w:val="00AF53A4"/>
    <w:rsid w:val="00AF578C"/>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AF7E45"/>
    <w:rsid w:val="00B00000"/>
    <w:rsid w:val="00B00B19"/>
    <w:rsid w:val="00B00D80"/>
    <w:rsid w:val="00B00F03"/>
    <w:rsid w:val="00B012CC"/>
    <w:rsid w:val="00B0177D"/>
    <w:rsid w:val="00B01887"/>
    <w:rsid w:val="00B01B3C"/>
    <w:rsid w:val="00B01E07"/>
    <w:rsid w:val="00B021E9"/>
    <w:rsid w:val="00B0237B"/>
    <w:rsid w:val="00B02777"/>
    <w:rsid w:val="00B02B77"/>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97"/>
    <w:rsid w:val="00B058D1"/>
    <w:rsid w:val="00B059E5"/>
    <w:rsid w:val="00B05CA0"/>
    <w:rsid w:val="00B05CE8"/>
    <w:rsid w:val="00B0601D"/>
    <w:rsid w:val="00B063D3"/>
    <w:rsid w:val="00B06D28"/>
    <w:rsid w:val="00B06D9A"/>
    <w:rsid w:val="00B06DB4"/>
    <w:rsid w:val="00B06EB7"/>
    <w:rsid w:val="00B070B0"/>
    <w:rsid w:val="00B070CE"/>
    <w:rsid w:val="00B073F0"/>
    <w:rsid w:val="00B07756"/>
    <w:rsid w:val="00B07799"/>
    <w:rsid w:val="00B07D77"/>
    <w:rsid w:val="00B1041B"/>
    <w:rsid w:val="00B10616"/>
    <w:rsid w:val="00B10D15"/>
    <w:rsid w:val="00B110A1"/>
    <w:rsid w:val="00B111CE"/>
    <w:rsid w:val="00B11204"/>
    <w:rsid w:val="00B112A0"/>
    <w:rsid w:val="00B11476"/>
    <w:rsid w:val="00B114BC"/>
    <w:rsid w:val="00B1153A"/>
    <w:rsid w:val="00B1169E"/>
    <w:rsid w:val="00B119E6"/>
    <w:rsid w:val="00B11A60"/>
    <w:rsid w:val="00B11A88"/>
    <w:rsid w:val="00B11CB2"/>
    <w:rsid w:val="00B11DB8"/>
    <w:rsid w:val="00B11EB7"/>
    <w:rsid w:val="00B1246F"/>
    <w:rsid w:val="00B12729"/>
    <w:rsid w:val="00B12A82"/>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81"/>
    <w:rsid w:val="00B16CF9"/>
    <w:rsid w:val="00B16F3F"/>
    <w:rsid w:val="00B170A1"/>
    <w:rsid w:val="00B170CF"/>
    <w:rsid w:val="00B171E9"/>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93E"/>
    <w:rsid w:val="00B22AC3"/>
    <w:rsid w:val="00B22C26"/>
    <w:rsid w:val="00B22FC1"/>
    <w:rsid w:val="00B230D5"/>
    <w:rsid w:val="00B23827"/>
    <w:rsid w:val="00B23932"/>
    <w:rsid w:val="00B23B32"/>
    <w:rsid w:val="00B23D98"/>
    <w:rsid w:val="00B23DCC"/>
    <w:rsid w:val="00B23F89"/>
    <w:rsid w:val="00B2413F"/>
    <w:rsid w:val="00B246A8"/>
    <w:rsid w:val="00B24A91"/>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81A"/>
    <w:rsid w:val="00B268AA"/>
    <w:rsid w:val="00B26ADC"/>
    <w:rsid w:val="00B26C56"/>
    <w:rsid w:val="00B27011"/>
    <w:rsid w:val="00B27180"/>
    <w:rsid w:val="00B27219"/>
    <w:rsid w:val="00B27349"/>
    <w:rsid w:val="00B274DD"/>
    <w:rsid w:val="00B27586"/>
    <w:rsid w:val="00B279A8"/>
    <w:rsid w:val="00B27C91"/>
    <w:rsid w:val="00B27E12"/>
    <w:rsid w:val="00B30180"/>
    <w:rsid w:val="00B30383"/>
    <w:rsid w:val="00B30817"/>
    <w:rsid w:val="00B3086D"/>
    <w:rsid w:val="00B30920"/>
    <w:rsid w:val="00B30A5C"/>
    <w:rsid w:val="00B30AFC"/>
    <w:rsid w:val="00B30C8B"/>
    <w:rsid w:val="00B30CFB"/>
    <w:rsid w:val="00B30E52"/>
    <w:rsid w:val="00B31025"/>
    <w:rsid w:val="00B31204"/>
    <w:rsid w:val="00B314AB"/>
    <w:rsid w:val="00B31566"/>
    <w:rsid w:val="00B31581"/>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0FD4"/>
    <w:rsid w:val="00B412AB"/>
    <w:rsid w:val="00B416B0"/>
    <w:rsid w:val="00B41960"/>
    <w:rsid w:val="00B4198D"/>
    <w:rsid w:val="00B41992"/>
    <w:rsid w:val="00B41A10"/>
    <w:rsid w:val="00B41B42"/>
    <w:rsid w:val="00B41B56"/>
    <w:rsid w:val="00B41D4E"/>
    <w:rsid w:val="00B420CA"/>
    <w:rsid w:val="00B42163"/>
    <w:rsid w:val="00B42231"/>
    <w:rsid w:val="00B42562"/>
    <w:rsid w:val="00B4264F"/>
    <w:rsid w:val="00B42975"/>
    <w:rsid w:val="00B42ADD"/>
    <w:rsid w:val="00B42C13"/>
    <w:rsid w:val="00B4319D"/>
    <w:rsid w:val="00B43E75"/>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CBD"/>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DBB"/>
    <w:rsid w:val="00B51FF2"/>
    <w:rsid w:val="00B521D0"/>
    <w:rsid w:val="00B5233E"/>
    <w:rsid w:val="00B52482"/>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81C"/>
    <w:rsid w:val="00B56AF7"/>
    <w:rsid w:val="00B56B9B"/>
    <w:rsid w:val="00B56B9D"/>
    <w:rsid w:val="00B56F47"/>
    <w:rsid w:val="00B57039"/>
    <w:rsid w:val="00B574D6"/>
    <w:rsid w:val="00B574DA"/>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8B"/>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36"/>
    <w:rsid w:val="00B6687A"/>
    <w:rsid w:val="00B66C15"/>
    <w:rsid w:val="00B66F68"/>
    <w:rsid w:val="00B67187"/>
    <w:rsid w:val="00B6733A"/>
    <w:rsid w:val="00B6766B"/>
    <w:rsid w:val="00B67681"/>
    <w:rsid w:val="00B67741"/>
    <w:rsid w:val="00B6789A"/>
    <w:rsid w:val="00B67D3D"/>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3AC"/>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77F88"/>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3AF"/>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DBE"/>
    <w:rsid w:val="00B87EEE"/>
    <w:rsid w:val="00B87EF2"/>
    <w:rsid w:val="00B900E9"/>
    <w:rsid w:val="00B9012D"/>
    <w:rsid w:val="00B90535"/>
    <w:rsid w:val="00B90566"/>
    <w:rsid w:val="00B905E0"/>
    <w:rsid w:val="00B90619"/>
    <w:rsid w:val="00B906BD"/>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04B"/>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249"/>
    <w:rsid w:val="00B95341"/>
    <w:rsid w:val="00B9536A"/>
    <w:rsid w:val="00B953FA"/>
    <w:rsid w:val="00B95AB0"/>
    <w:rsid w:val="00B95C70"/>
    <w:rsid w:val="00B95DBF"/>
    <w:rsid w:val="00B95E24"/>
    <w:rsid w:val="00B96224"/>
    <w:rsid w:val="00B9626C"/>
    <w:rsid w:val="00B962F3"/>
    <w:rsid w:val="00B96355"/>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A1E"/>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714"/>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224"/>
    <w:rsid w:val="00BB136B"/>
    <w:rsid w:val="00BB15F4"/>
    <w:rsid w:val="00BB1694"/>
    <w:rsid w:val="00BB17AF"/>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06E"/>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62"/>
    <w:rsid w:val="00BD0FFE"/>
    <w:rsid w:val="00BD123F"/>
    <w:rsid w:val="00BD133D"/>
    <w:rsid w:val="00BD1389"/>
    <w:rsid w:val="00BD1500"/>
    <w:rsid w:val="00BD1589"/>
    <w:rsid w:val="00BD1792"/>
    <w:rsid w:val="00BD1A29"/>
    <w:rsid w:val="00BD1ABB"/>
    <w:rsid w:val="00BD1AC4"/>
    <w:rsid w:val="00BD1B2D"/>
    <w:rsid w:val="00BD1C3D"/>
    <w:rsid w:val="00BD2742"/>
    <w:rsid w:val="00BD2766"/>
    <w:rsid w:val="00BD2780"/>
    <w:rsid w:val="00BD2926"/>
    <w:rsid w:val="00BD299E"/>
    <w:rsid w:val="00BD2A5C"/>
    <w:rsid w:val="00BD2AE5"/>
    <w:rsid w:val="00BD2C5F"/>
    <w:rsid w:val="00BD2D35"/>
    <w:rsid w:val="00BD2E77"/>
    <w:rsid w:val="00BD30CC"/>
    <w:rsid w:val="00BD32B6"/>
    <w:rsid w:val="00BD33F7"/>
    <w:rsid w:val="00BD34DB"/>
    <w:rsid w:val="00BD3819"/>
    <w:rsid w:val="00BD3B4D"/>
    <w:rsid w:val="00BD3EAD"/>
    <w:rsid w:val="00BD3EC2"/>
    <w:rsid w:val="00BD412C"/>
    <w:rsid w:val="00BD41B0"/>
    <w:rsid w:val="00BD4327"/>
    <w:rsid w:val="00BD44B6"/>
    <w:rsid w:val="00BD480C"/>
    <w:rsid w:val="00BD4B10"/>
    <w:rsid w:val="00BD4C53"/>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EC6"/>
    <w:rsid w:val="00BF48F4"/>
    <w:rsid w:val="00BF4AC8"/>
    <w:rsid w:val="00BF4B98"/>
    <w:rsid w:val="00BF4DE8"/>
    <w:rsid w:val="00BF4FE8"/>
    <w:rsid w:val="00BF5088"/>
    <w:rsid w:val="00BF521E"/>
    <w:rsid w:val="00BF5268"/>
    <w:rsid w:val="00BF5342"/>
    <w:rsid w:val="00BF538E"/>
    <w:rsid w:val="00BF54EE"/>
    <w:rsid w:val="00BF5702"/>
    <w:rsid w:val="00BF579F"/>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66"/>
    <w:rsid w:val="00C02DE3"/>
    <w:rsid w:val="00C02ECB"/>
    <w:rsid w:val="00C02FE1"/>
    <w:rsid w:val="00C03012"/>
    <w:rsid w:val="00C033E5"/>
    <w:rsid w:val="00C036E8"/>
    <w:rsid w:val="00C0371A"/>
    <w:rsid w:val="00C0373D"/>
    <w:rsid w:val="00C03DA6"/>
    <w:rsid w:val="00C03EA6"/>
    <w:rsid w:val="00C043A9"/>
    <w:rsid w:val="00C0450D"/>
    <w:rsid w:val="00C0457A"/>
    <w:rsid w:val="00C04615"/>
    <w:rsid w:val="00C0469C"/>
    <w:rsid w:val="00C04834"/>
    <w:rsid w:val="00C049E2"/>
    <w:rsid w:val="00C04B79"/>
    <w:rsid w:val="00C04C3D"/>
    <w:rsid w:val="00C04C83"/>
    <w:rsid w:val="00C04CF5"/>
    <w:rsid w:val="00C04CFA"/>
    <w:rsid w:val="00C04E20"/>
    <w:rsid w:val="00C04E95"/>
    <w:rsid w:val="00C051D9"/>
    <w:rsid w:val="00C0525D"/>
    <w:rsid w:val="00C0558B"/>
    <w:rsid w:val="00C05613"/>
    <w:rsid w:val="00C056E0"/>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4BB"/>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9E8"/>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DD6"/>
    <w:rsid w:val="00C25EFB"/>
    <w:rsid w:val="00C26018"/>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501"/>
    <w:rsid w:val="00C315AB"/>
    <w:rsid w:val="00C316DD"/>
    <w:rsid w:val="00C31DE7"/>
    <w:rsid w:val="00C31E10"/>
    <w:rsid w:val="00C31E6A"/>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8E3"/>
    <w:rsid w:val="00C37D11"/>
    <w:rsid w:val="00C37D38"/>
    <w:rsid w:val="00C37FED"/>
    <w:rsid w:val="00C40492"/>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45A"/>
    <w:rsid w:val="00C43ADE"/>
    <w:rsid w:val="00C445BE"/>
    <w:rsid w:val="00C44609"/>
    <w:rsid w:val="00C44C6E"/>
    <w:rsid w:val="00C451C5"/>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644"/>
    <w:rsid w:val="00C468B8"/>
    <w:rsid w:val="00C46D4F"/>
    <w:rsid w:val="00C470B9"/>
    <w:rsid w:val="00C47118"/>
    <w:rsid w:val="00C473FF"/>
    <w:rsid w:val="00C47432"/>
    <w:rsid w:val="00C4764A"/>
    <w:rsid w:val="00C47885"/>
    <w:rsid w:val="00C47A6F"/>
    <w:rsid w:val="00C47D42"/>
    <w:rsid w:val="00C47D7C"/>
    <w:rsid w:val="00C47F39"/>
    <w:rsid w:val="00C50321"/>
    <w:rsid w:val="00C510DD"/>
    <w:rsid w:val="00C511E3"/>
    <w:rsid w:val="00C517F3"/>
    <w:rsid w:val="00C51CD5"/>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1C9"/>
    <w:rsid w:val="00C63336"/>
    <w:rsid w:val="00C63370"/>
    <w:rsid w:val="00C636BA"/>
    <w:rsid w:val="00C638E0"/>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657"/>
    <w:rsid w:val="00C75782"/>
    <w:rsid w:val="00C759F3"/>
    <w:rsid w:val="00C75A9D"/>
    <w:rsid w:val="00C75AA9"/>
    <w:rsid w:val="00C75CE8"/>
    <w:rsid w:val="00C7614A"/>
    <w:rsid w:val="00C761D5"/>
    <w:rsid w:val="00C764D9"/>
    <w:rsid w:val="00C76570"/>
    <w:rsid w:val="00C76646"/>
    <w:rsid w:val="00C766E7"/>
    <w:rsid w:val="00C7671C"/>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814"/>
    <w:rsid w:val="00C85816"/>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905"/>
    <w:rsid w:val="00CA1FE9"/>
    <w:rsid w:val="00CA22DA"/>
    <w:rsid w:val="00CA267C"/>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7E8"/>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C6"/>
    <w:rsid w:val="00CB6778"/>
    <w:rsid w:val="00CB697F"/>
    <w:rsid w:val="00CB69AA"/>
    <w:rsid w:val="00CB6A8E"/>
    <w:rsid w:val="00CB6B3A"/>
    <w:rsid w:val="00CB6FBF"/>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51"/>
    <w:rsid w:val="00CD3A83"/>
    <w:rsid w:val="00CD3AAD"/>
    <w:rsid w:val="00CD3BD5"/>
    <w:rsid w:val="00CD3D33"/>
    <w:rsid w:val="00CD42DE"/>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620A"/>
    <w:rsid w:val="00CD6A76"/>
    <w:rsid w:val="00CD6D39"/>
    <w:rsid w:val="00CD6EAC"/>
    <w:rsid w:val="00CD6F01"/>
    <w:rsid w:val="00CD73DB"/>
    <w:rsid w:val="00CD7575"/>
    <w:rsid w:val="00CD767C"/>
    <w:rsid w:val="00CD7EA4"/>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BCB"/>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20"/>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87"/>
    <w:rsid w:val="00CF53CD"/>
    <w:rsid w:val="00CF55E0"/>
    <w:rsid w:val="00CF56F9"/>
    <w:rsid w:val="00CF5739"/>
    <w:rsid w:val="00CF5772"/>
    <w:rsid w:val="00CF59FB"/>
    <w:rsid w:val="00CF5EEA"/>
    <w:rsid w:val="00CF60CE"/>
    <w:rsid w:val="00CF635E"/>
    <w:rsid w:val="00CF63C0"/>
    <w:rsid w:val="00CF660A"/>
    <w:rsid w:val="00CF669A"/>
    <w:rsid w:val="00CF66A1"/>
    <w:rsid w:val="00CF7137"/>
    <w:rsid w:val="00CF73DB"/>
    <w:rsid w:val="00CF74E3"/>
    <w:rsid w:val="00CF76C2"/>
    <w:rsid w:val="00CF7AFF"/>
    <w:rsid w:val="00CF7CDC"/>
    <w:rsid w:val="00CF7E65"/>
    <w:rsid w:val="00D0041B"/>
    <w:rsid w:val="00D00C21"/>
    <w:rsid w:val="00D00FD7"/>
    <w:rsid w:val="00D012CB"/>
    <w:rsid w:val="00D0137F"/>
    <w:rsid w:val="00D01726"/>
    <w:rsid w:val="00D01B3A"/>
    <w:rsid w:val="00D01BA6"/>
    <w:rsid w:val="00D01BC3"/>
    <w:rsid w:val="00D02470"/>
    <w:rsid w:val="00D0249C"/>
    <w:rsid w:val="00D024E0"/>
    <w:rsid w:val="00D0252E"/>
    <w:rsid w:val="00D026AB"/>
    <w:rsid w:val="00D027E7"/>
    <w:rsid w:val="00D02865"/>
    <w:rsid w:val="00D02E63"/>
    <w:rsid w:val="00D02E8D"/>
    <w:rsid w:val="00D02FBF"/>
    <w:rsid w:val="00D030AB"/>
    <w:rsid w:val="00D03384"/>
    <w:rsid w:val="00D036AA"/>
    <w:rsid w:val="00D03C34"/>
    <w:rsid w:val="00D03E4B"/>
    <w:rsid w:val="00D03F84"/>
    <w:rsid w:val="00D044A7"/>
    <w:rsid w:val="00D048C2"/>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01E"/>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CEE"/>
    <w:rsid w:val="00D13D5B"/>
    <w:rsid w:val="00D13FC6"/>
    <w:rsid w:val="00D14453"/>
    <w:rsid w:val="00D14564"/>
    <w:rsid w:val="00D14879"/>
    <w:rsid w:val="00D14B41"/>
    <w:rsid w:val="00D14B54"/>
    <w:rsid w:val="00D14CF3"/>
    <w:rsid w:val="00D14E2E"/>
    <w:rsid w:val="00D1520A"/>
    <w:rsid w:val="00D1542D"/>
    <w:rsid w:val="00D15649"/>
    <w:rsid w:val="00D1577A"/>
    <w:rsid w:val="00D15E36"/>
    <w:rsid w:val="00D1615C"/>
    <w:rsid w:val="00D1617C"/>
    <w:rsid w:val="00D16892"/>
    <w:rsid w:val="00D16916"/>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DE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A9"/>
    <w:rsid w:val="00D326E7"/>
    <w:rsid w:val="00D327EB"/>
    <w:rsid w:val="00D328D7"/>
    <w:rsid w:val="00D3316C"/>
    <w:rsid w:val="00D332B5"/>
    <w:rsid w:val="00D33541"/>
    <w:rsid w:val="00D33841"/>
    <w:rsid w:val="00D339C0"/>
    <w:rsid w:val="00D33A04"/>
    <w:rsid w:val="00D33C96"/>
    <w:rsid w:val="00D341CB"/>
    <w:rsid w:val="00D342A1"/>
    <w:rsid w:val="00D3431B"/>
    <w:rsid w:val="00D34F66"/>
    <w:rsid w:val="00D35333"/>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404"/>
    <w:rsid w:val="00D4168F"/>
    <w:rsid w:val="00D41691"/>
    <w:rsid w:val="00D418E0"/>
    <w:rsid w:val="00D419E2"/>
    <w:rsid w:val="00D419F8"/>
    <w:rsid w:val="00D41B77"/>
    <w:rsid w:val="00D41D8E"/>
    <w:rsid w:val="00D41DC9"/>
    <w:rsid w:val="00D4205D"/>
    <w:rsid w:val="00D42289"/>
    <w:rsid w:val="00D4252D"/>
    <w:rsid w:val="00D42685"/>
    <w:rsid w:val="00D42902"/>
    <w:rsid w:val="00D4299C"/>
    <w:rsid w:val="00D42A22"/>
    <w:rsid w:val="00D42AE4"/>
    <w:rsid w:val="00D42B1F"/>
    <w:rsid w:val="00D42FC8"/>
    <w:rsid w:val="00D4327C"/>
    <w:rsid w:val="00D4342E"/>
    <w:rsid w:val="00D4355D"/>
    <w:rsid w:val="00D436D6"/>
    <w:rsid w:val="00D43838"/>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BFA"/>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6D7"/>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2CD"/>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02"/>
    <w:rsid w:val="00D55EC2"/>
    <w:rsid w:val="00D56104"/>
    <w:rsid w:val="00D562E4"/>
    <w:rsid w:val="00D5632D"/>
    <w:rsid w:val="00D56668"/>
    <w:rsid w:val="00D56BBC"/>
    <w:rsid w:val="00D56DC8"/>
    <w:rsid w:val="00D571C2"/>
    <w:rsid w:val="00D5731B"/>
    <w:rsid w:val="00D5731F"/>
    <w:rsid w:val="00D57766"/>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288"/>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0D"/>
    <w:rsid w:val="00D63E54"/>
    <w:rsid w:val="00D6403E"/>
    <w:rsid w:val="00D64142"/>
    <w:rsid w:val="00D645EC"/>
    <w:rsid w:val="00D646A9"/>
    <w:rsid w:val="00D646F4"/>
    <w:rsid w:val="00D647B8"/>
    <w:rsid w:val="00D648B8"/>
    <w:rsid w:val="00D651FC"/>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11"/>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10"/>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3C86"/>
    <w:rsid w:val="00D841A8"/>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0B3"/>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49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F3"/>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93"/>
    <w:rsid w:val="00DA55FB"/>
    <w:rsid w:val="00DA58FB"/>
    <w:rsid w:val="00DA59BE"/>
    <w:rsid w:val="00DA5A6E"/>
    <w:rsid w:val="00DA5D0E"/>
    <w:rsid w:val="00DA5D33"/>
    <w:rsid w:val="00DA5E8D"/>
    <w:rsid w:val="00DA6059"/>
    <w:rsid w:val="00DA629D"/>
    <w:rsid w:val="00DA651E"/>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7"/>
    <w:rsid w:val="00DB1CF8"/>
    <w:rsid w:val="00DB1D67"/>
    <w:rsid w:val="00DB1F48"/>
    <w:rsid w:val="00DB21EB"/>
    <w:rsid w:val="00DB2247"/>
    <w:rsid w:val="00DB243C"/>
    <w:rsid w:val="00DB25EC"/>
    <w:rsid w:val="00DB2686"/>
    <w:rsid w:val="00DB341E"/>
    <w:rsid w:val="00DB34E0"/>
    <w:rsid w:val="00DB3623"/>
    <w:rsid w:val="00DB399C"/>
    <w:rsid w:val="00DB3A37"/>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5A3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3261"/>
    <w:rsid w:val="00DC3536"/>
    <w:rsid w:val="00DC38A7"/>
    <w:rsid w:val="00DC3A71"/>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D28"/>
    <w:rsid w:val="00DD2E3D"/>
    <w:rsid w:val="00DD2F9A"/>
    <w:rsid w:val="00DD3334"/>
    <w:rsid w:val="00DD3605"/>
    <w:rsid w:val="00DD36AA"/>
    <w:rsid w:val="00DD37A4"/>
    <w:rsid w:val="00DD37C0"/>
    <w:rsid w:val="00DD39AA"/>
    <w:rsid w:val="00DD40A6"/>
    <w:rsid w:val="00DD40C0"/>
    <w:rsid w:val="00DD4321"/>
    <w:rsid w:val="00DD4406"/>
    <w:rsid w:val="00DD449F"/>
    <w:rsid w:val="00DD44EF"/>
    <w:rsid w:val="00DD4532"/>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12B"/>
    <w:rsid w:val="00DE1692"/>
    <w:rsid w:val="00DE18AE"/>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186"/>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3F4"/>
    <w:rsid w:val="00DF05C8"/>
    <w:rsid w:val="00DF0768"/>
    <w:rsid w:val="00DF0C29"/>
    <w:rsid w:val="00DF0C96"/>
    <w:rsid w:val="00DF0CCA"/>
    <w:rsid w:val="00DF0FD9"/>
    <w:rsid w:val="00DF15B0"/>
    <w:rsid w:val="00DF1795"/>
    <w:rsid w:val="00DF1A59"/>
    <w:rsid w:val="00DF1AED"/>
    <w:rsid w:val="00DF1CEE"/>
    <w:rsid w:val="00DF1DE8"/>
    <w:rsid w:val="00DF1EBE"/>
    <w:rsid w:val="00DF1FA6"/>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03"/>
    <w:rsid w:val="00E0016F"/>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69"/>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57A"/>
    <w:rsid w:val="00E14756"/>
    <w:rsid w:val="00E14C91"/>
    <w:rsid w:val="00E1562D"/>
    <w:rsid w:val="00E1598D"/>
    <w:rsid w:val="00E159AC"/>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837"/>
    <w:rsid w:val="00E21910"/>
    <w:rsid w:val="00E219AB"/>
    <w:rsid w:val="00E21BB5"/>
    <w:rsid w:val="00E21D2F"/>
    <w:rsid w:val="00E21DA1"/>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FE"/>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227"/>
    <w:rsid w:val="00E323B2"/>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16"/>
    <w:rsid w:val="00E43475"/>
    <w:rsid w:val="00E4362C"/>
    <w:rsid w:val="00E43637"/>
    <w:rsid w:val="00E43686"/>
    <w:rsid w:val="00E43729"/>
    <w:rsid w:val="00E4376E"/>
    <w:rsid w:val="00E437BD"/>
    <w:rsid w:val="00E43819"/>
    <w:rsid w:val="00E43A01"/>
    <w:rsid w:val="00E43BE1"/>
    <w:rsid w:val="00E43D20"/>
    <w:rsid w:val="00E4440D"/>
    <w:rsid w:val="00E44540"/>
    <w:rsid w:val="00E447EA"/>
    <w:rsid w:val="00E447F4"/>
    <w:rsid w:val="00E44869"/>
    <w:rsid w:val="00E448D9"/>
    <w:rsid w:val="00E44986"/>
    <w:rsid w:val="00E449A7"/>
    <w:rsid w:val="00E44A19"/>
    <w:rsid w:val="00E44BB5"/>
    <w:rsid w:val="00E44E46"/>
    <w:rsid w:val="00E44F01"/>
    <w:rsid w:val="00E45189"/>
    <w:rsid w:val="00E453DF"/>
    <w:rsid w:val="00E45505"/>
    <w:rsid w:val="00E455BA"/>
    <w:rsid w:val="00E45678"/>
    <w:rsid w:val="00E4567D"/>
    <w:rsid w:val="00E4568E"/>
    <w:rsid w:val="00E458D8"/>
    <w:rsid w:val="00E45C9E"/>
    <w:rsid w:val="00E46075"/>
    <w:rsid w:val="00E4608C"/>
    <w:rsid w:val="00E464F0"/>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B67"/>
    <w:rsid w:val="00E47BAC"/>
    <w:rsid w:val="00E47C75"/>
    <w:rsid w:val="00E47C90"/>
    <w:rsid w:val="00E47D82"/>
    <w:rsid w:val="00E47FB4"/>
    <w:rsid w:val="00E50193"/>
    <w:rsid w:val="00E50376"/>
    <w:rsid w:val="00E50450"/>
    <w:rsid w:val="00E504B2"/>
    <w:rsid w:val="00E50554"/>
    <w:rsid w:val="00E506A1"/>
    <w:rsid w:val="00E50709"/>
    <w:rsid w:val="00E5076B"/>
    <w:rsid w:val="00E507C5"/>
    <w:rsid w:val="00E507CF"/>
    <w:rsid w:val="00E50BE6"/>
    <w:rsid w:val="00E50D06"/>
    <w:rsid w:val="00E50EBF"/>
    <w:rsid w:val="00E51329"/>
    <w:rsid w:val="00E51351"/>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A9B"/>
    <w:rsid w:val="00E54E0A"/>
    <w:rsid w:val="00E55056"/>
    <w:rsid w:val="00E55079"/>
    <w:rsid w:val="00E556E9"/>
    <w:rsid w:val="00E557A0"/>
    <w:rsid w:val="00E557B2"/>
    <w:rsid w:val="00E5589A"/>
    <w:rsid w:val="00E55AA5"/>
    <w:rsid w:val="00E56068"/>
    <w:rsid w:val="00E562E2"/>
    <w:rsid w:val="00E5659C"/>
    <w:rsid w:val="00E568D0"/>
    <w:rsid w:val="00E56965"/>
    <w:rsid w:val="00E56C80"/>
    <w:rsid w:val="00E56D16"/>
    <w:rsid w:val="00E57172"/>
    <w:rsid w:val="00E5730B"/>
    <w:rsid w:val="00E5774E"/>
    <w:rsid w:val="00E57779"/>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916"/>
    <w:rsid w:val="00E64A4A"/>
    <w:rsid w:val="00E64D54"/>
    <w:rsid w:val="00E64FEE"/>
    <w:rsid w:val="00E65220"/>
    <w:rsid w:val="00E6537E"/>
    <w:rsid w:val="00E65702"/>
    <w:rsid w:val="00E65ACA"/>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749"/>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E73"/>
    <w:rsid w:val="00E72F88"/>
    <w:rsid w:val="00E7334E"/>
    <w:rsid w:val="00E73637"/>
    <w:rsid w:val="00E7366C"/>
    <w:rsid w:val="00E738C6"/>
    <w:rsid w:val="00E739D4"/>
    <w:rsid w:val="00E73A47"/>
    <w:rsid w:val="00E73B3D"/>
    <w:rsid w:val="00E73BA1"/>
    <w:rsid w:val="00E73C20"/>
    <w:rsid w:val="00E73EC9"/>
    <w:rsid w:val="00E740BE"/>
    <w:rsid w:val="00E741AD"/>
    <w:rsid w:val="00E74287"/>
    <w:rsid w:val="00E74362"/>
    <w:rsid w:val="00E743DB"/>
    <w:rsid w:val="00E744A0"/>
    <w:rsid w:val="00E74679"/>
    <w:rsid w:val="00E74B7C"/>
    <w:rsid w:val="00E74DB2"/>
    <w:rsid w:val="00E74DCD"/>
    <w:rsid w:val="00E74F94"/>
    <w:rsid w:val="00E7514D"/>
    <w:rsid w:val="00E751CF"/>
    <w:rsid w:val="00E7529B"/>
    <w:rsid w:val="00E75387"/>
    <w:rsid w:val="00E754BC"/>
    <w:rsid w:val="00E75872"/>
    <w:rsid w:val="00E7596F"/>
    <w:rsid w:val="00E75ADC"/>
    <w:rsid w:val="00E75D06"/>
    <w:rsid w:val="00E75D9B"/>
    <w:rsid w:val="00E75EF2"/>
    <w:rsid w:val="00E7608A"/>
    <w:rsid w:val="00E7667C"/>
    <w:rsid w:val="00E769E0"/>
    <w:rsid w:val="00E76A29"/>
    <w:rsid w:val="00E77248"/>
    <w:rsid w:val="00E773FA"/>
    <w:rsid w:val="00E77435"/>
    <w:rsid w:val="00E774EA"/>
    <w:rsid w:val="00E77521"/>
    <w:rsid w:val="00E77601"/>
    <w:rsid w:val="00E776BC"/>
    <w:rsid w:val="00E777D8"/>
    <w:rsid w:val="00E77821"/>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0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6C3"/>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188"/>
    <w:rsid w:val="00EA429C"/>
    <w:rsid w:val="00EA45BC"/>
    <w:rsid w:val="00EA48BB"/>
    <w:rsid w:val="00EA4D16"/>
    <w:rsid w:val="00EA4D25"/>
    <w:rsid w:val="00EA4D2D"/>
    <w:rsid w:val="00EA5086"/>
    <w:rsid w:val="00EA520F"/>
    <w:rsid w:val="00EA5376"/>
    <w:rsid w:val="00EA5387"/>
    <w:rsid w:val="00EA53E7"/>
    <w:rsid w:val="00EA54AB"/>
    <w:rsid w:val="00EA558C"/>
    <w:rsid w:val="00EA57D1"/>
    <w:rsid w:val="00EA590C"/>
    <w:rsid w:val="00EA59CC"/>
    <w:rsid w:val="00EA5D9E"/>
    <w:rsid w:val="00EA5F56"/>
    <w:rsid w:val="00EA5F76"/>
    <w:rsid w:val="00EA5FC8"/>
    <w:rsid w:val="00EA65C3"/>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751"/>
    <w:rsid w:val="00EB27A3"/>
    <w:rsid w:val="00EB27BF"/>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A00"/>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2BF"/>
    <w:rsid w:val="00EC1494"/>
    <w:rsid w:val="00EC1551"/>
    <w:rsid w:val="00EC1572"/>
    <w:rsid w:val="00EC158A"/>
    <w:rsid w:val="00EC1743"/>
    <w:rsid w:val="00EC17D1"/>
    <w:rsid w:val="00EC1993"/>
    <w:rsid w:val="00EC19AE"/>
    <w:rsid w:val="00EC2123"/>
    <w:rsid w:val="00EC2364"/>
    <w:rsid w:val="00EC25F1"/>
    <w:rsid w:val="00EC266E"/>
    <w:rsid w:val="00EC29CF"/>
    <w:rsid w:val="00EC2AD3"/>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0FC"/>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2F"/>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24"/>
    <w:rsid w:val="00EE124F"/>
    <w:rsid w:val="00EE1498"/>
    <w:rsid w:val="00EE18CA"/>
    <w:rsid w:val="00EE1AB9"/>
    <w:rsid w:val="00EE1D80"/>
    <w:rsid w:val="00EE1E3E"/>
    <w:rsid w:val="00EE2251"/>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6104"/>
    <w:rsid w:val="00EE6500"/>
    <w:rsid w:val="00EE6984"/>
    <w:rsid w:val="00EE69A4"/>
    <w:rsid w:val="00EE6AEC"/>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0F58"/>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81E"/>
    <w:rsid w:val="00EF4A02"/>
    <w:rsid w:val="00EF4CD2"/>
    <w:rsid w:val="00EF4E7D"/>
    <w:rsid w:val="00EF4FE3"/>
    <w:rsid w:val="00EF5016"/>
    <w:rsid w:val="00EF51F9"/>
    <w:rsid w:val="00EF5581"/>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B2"/>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DFE"/>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8D"/>
    <w:rsid w:val="00F06B95"/>
    <w:rsid w:val="00F06C43"/>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7E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D64"/>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3"/>
    <w:rsid w:val="00F22A4F"/>
    <w:rsid w:val="00F22BA1"/>
    <w:rsid w:val="00F22D0B"/>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2E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15B"/>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5A"/>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9E4"/>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ABD"/>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4CB"/>
    <w:rsid w:val="00F93541"/>
    <w:rsid w:val="00F9354E"/>
    <w:rsid w:val="00F936A7"/>
    <w:rsid w:val="00F9389D"/>
    <w:rsid w:val="00F939D0"/>
    <w:rsid w:val="00F93C7F"/>
    <w:rsid w:val="00F940C7"/>
    <w:rsid w:val="00F9410B"/>
    <w:rsid w:val="00F94147"/>
    <w:rsid w:val="00F94214"/>
    <w:rsid w:val="00F943B5"/>
    <w:rsid w:val="00F94563"/>
    <w:rsid w:val="00F9484F"/>
    <w:rsid w:val="00F94D15"/>
    <w:rsid w:val="00F94D54"/>
    <w:rsid w:val="00F94D7B"/>
    <w:rsid w:val="00F94DD9"/>
    <w:rsid w:val="00F95443"/>
    <w:rsid w:val="00F95532"/>
    <w:rsid w:val="00F95639"/>
    <w:rsid w:val="00F95889"/>
    <w:rsid w:val="00F95A22"/>
    <w:rsid w:val="00F95C46"/>
    <w:rsid w:val="00F95E84"/>
    <w:rsid w:val="00F9644F"/>
    <w:rsid w:val="00F9650E"/>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29"/>
    <w:rsid w:val="00FB03B6"/>
    <w:rsid w:val="00FB063B"/>
    <w:rsid w:val="00FB063E"/>
    <w:rsid w:val="00FB0749"/>
    <w:rsid w:val="00FB0A44"/>
    <w:rsid w:val="00FB0A96"/>
    <w:rsid w:val="00FB0C75"/>
    <w:rsid w:val="00FB0DD7"/>
    <w:rsid w:val="00FB0EBF"/>
    <w:rsid w:val="00FB103E"/>
    <w:rsid w:val="00FB11AF"/>
    <w:rsid w:val="00FB11E9"/>
    <w:rsid w:val="00FB14ED"/>
    <w:rsid w:val="00FB18FF"/>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C6A"/>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C08"/>
    <w:rsid w:val="00FC0D68"/>
    <w:rsid w:val="00FC12B0"/>
    <w:rsid w:val="00FC16BF"/>
    <w:rsid w:val="00FC1858"/>
    <w:rsid w:val="00FC1900"/>
    <w:rsid w:val="00FC1937"/>
    <w:rsid w:val="00FC196A"/>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76"/>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41"/>
    <w:rsid w:val="00FD0983"/>
    <w:rsid w:val="00FD0C03"/>
    <w:rsid w:val="00FD0E27"/>
    <w:rsid w:val="00FD0E2F"/>
    <w:rsid w:val="00FD0EF6"/>
    <w:rsid w:val="00FD1024"/>
    <w:rsid w:val="00FD1104"/>
    <w:rsid w:val="00FD1300"/>
    <w:rsid w:val="00FD1458"/>
    <w:rsid w:val="00FD157C"/>
    <w:rsid w:val="00FD179D"/>
    <w:rsid w:val="00FD1945"/>
    <w:rsid w:val="00FD1A4A"/>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143"/>
    <w:rsid w:val="00FD649F"/>
    <w:rsid w:val="00FD660F"/>
    <w:rsid w:val="00FD6649"/>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3DB"/>
    <w:rsid w:val="00FE26C1"/>
    <w:rsid w:val="00FE2842"/>
    <w:rsid w:val="00FE295B"/>
    <w:rsid w:val="00FE2F7A"/>
    <w:rsid w:val="00FE30B6"/>
    <w:rsid w:val="00FE3A9C"/>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31"/>
    <w:rsid w:val="00FE5980"/>
    <w:rsid w:val="00FE5C69"/>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C8A"/>
    <w:rsid w:val="00FF21D2"/>
    <w:rsid w:val="00FF2408"/>
    <w:rsid w:val="00FF25E2"/>
    <w:rsid w:val="00FF2B84"/>
    <w:rsid w:val="00FF2C2E"/>
    <w:rsid w:val="00FF313B"/>
    <w:rsid w:val="00FF31A1"/>
    <w:rsid w:val="00FF34C8"/>
    <w:rsid w:val="00FF36BD"/>
    <w:rsid w:val="00FF381C"/>
    <w:rsid w:val="00FF3A8F"/>
    <w:rsid w:val="00FF3B13"/>
    <w:rsid w:val="00FF3B76"/>
    <w:rsid w:val="00FF3CCA"/>
    <w:rsid w:val="00FF3F58"/>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0FF7FB4"/>
    <w:rsid w:val="01135915"/>
    <w:rsid w:val="014E45D9"/>
    <w:rsid w:val="01A3073B"/>
    <w:rsid w:val="01A82395"/>
    <w:rsid w:val="01D17056"/>
    <w:rsid w:val="01FF3BC3"/>
    <w:rsid w:val="02000514"/>
    <w:rsid w:val="022D634F"/>
    <w:rsid w:val="025B75AD"/>
    <w:rsid w:val="02C2415D"/>
    <w:rsid w:val="02E21925"/>
    <w:rsid w:val="033E696D"/>
    <w:rsid w:val="035D4076"/>
    <w:rsid w:val="03767EB5"/>
    <w:rsid w:val="03F82FC0"/>
    <w:rsid w:val="04081595"/>
    <w:rsid w:val="0475016D"/>
    <w:rsid w:val="04F511EF"/>
    <w:rsid w:val="0506170D"/>
    <w:rsid w:val="05AC3F45"/>
    <w:rsid w:val="05B112EB"/>
    <w:rsid w:val="05BC1DCB"/>
    <w:rsid w:val="05EE4A5E"/>
    <w:rsid w:val="061359B7"/>
    <w:rsid w:val="06A10541"/>
    <w:rsid w:val="06F014AE"/>
    <w:rsid w:val="0701218C"/>
    <w:rsid w:val="073267E9"/>
    <w:rsid w:val="075553CD"/>
    <w:rsid w:val="0764271A"/>
    <w:rsid w:val="07966D78"/>
    <w:rsid w:val="07B76CEE"/>
    <w:rsid w:val="07BC4304"/>
    <w:rsid w:val="07CF4546"/>
    <w:rsid w:val="07D7113E"/>
    <w:rsid w:val="07F814B3"/>
    <w:rsid w:val="082A492A"/>
    <w:rsid w:val="08475802"/>
    <w:rsid w:val="08890479"/>
    <w:rsid w:val="092828B4"/>
    <w:rsid w:val="094E3682"/>
    <w:rsid w:val="09CF51DC"/>
    <w:rsid w:val="09E71B0D"/>
    <w:rsid w:val="09ED69F7"/>
    <w:rsid w:val="0A3A6D8B"/>
    <w:rsid w:val="0A7964DD"/>
    <w:rsid w:val="0AAA0CF5"/>
    <w:rsid w:val="0AD91216"/>
    <w:rsid w:val="0AF838A6"/>
    <w:rsid w:val="0AFC1873"/>
    <w:rsid w:val="0B0B4105"/>
    <w:rsid w:val="0B137E4E"/>
    <w:rsid w:val="0B3D1B83"/>
    <w:rsid w:val="0B660C1A"/>
    <w:rsid w:val="0B732F2C"/>
    <w:rsid w:val="0BAC3645"/>
    <w:rsid w:val="0BB27EF8"/>
    <w:rsid w:val="0BED0F30"/>
    <w:rsid w:val="0C420A31"/>
    <w:rsid w:val="0C8A677F"/>
    <w:rsid w:val="0CD92AE8"/>
    <w:rsid w:val="0D116EA1"/>
    <w:rsid w:val="0D222642"/>
    <w:rsid w:val="0D98515C"/>
    <w:rsid w:val="0DE2190D"/>
    <w:rsid w:val="0DE63E89"/>
    <w:rsid w:val="0DED346A"/>
    <w:rsid w:val="0E236D3C"/>
    <w:rsid w:val="0EDD528C"/>
    <w:rsid w:val="0EE71797"/>
    <w:rsid w:val="0F6B027F"/>
    <w:rsid w:val="0F9E3031"/>
    <w:rsid w:val="0F9F2542"/>
    <w:rsid w:val="100F5919"/>
    <w:rsid w:val="101250D8"/>
    <w:rsid w:val="101E42E0"/>
    <w:rsid w:val="10412E95"/>
    <w:rsid w:val="107B4D5D"/>
    <w:rsid w:val="107E6ED2"/>
    <w:rsid w:val="110012C0"/>
    <w:rsid w:val="11470F6F"/>
    <w:rsid w:val="115E0B93"/>
    <w:rsid w:val="11A6405B"/>
    <w:rsid w:val="12152F8F"/>
    <w:rsid w:val="12445622"/>
    <w:rsid w:val="126857B5"/>
    <w:rsid w:val="126A2FDB"/>
    <w:rsid w:val="127E013D"/>
    <w:rsid w:val="12D469A6"/>
    <w:rsid w:val="12E3308D"/>
    <w:rsid w:val="13502B4A"/>
    <w:rsid w:val="13570B48"/>
    <w:rsid w:val="1357496B"/>
    <w:rsid w:val="13612EFC"/>
    <w:rsid w:val="13A81C97"/>
    <w:rsid w:val="1401527D"/>
    <w:rsid w:val="14101C60"/>
    <w:rsid w:val="14336EB8"/>
    <w:rsid w:val="1463591C"/>
    <w:rsid w:val="14777F31"/>
    <w:rsid w:val="14C7346E"/>
    <w:rsid w:val="14E82BDD"/>
    <w:rsid w:val="14F47DCD"/>
    <w:rsid w:val="15214E5E"/>
    <w:rsid w:val="1573694A"/>
    <w:rsid w:val="15C236C3"/>
    <w:rsid w:val="15E72E94"/>
    <w:rsid w:val="168F1FDC"/>
    <w:rsid w:val="171657DF"/>
    <w:rsid w:val="17736C65"/>
    <w:rsid w:val="17AB593A"/>
    <w:rsid w:val="17F93E0B"/>
    <w:rsid w:val="1800023D"/>
    <w:rsid w:val="180A4A22"/>
    <w:rsid w:val="183F0D66"/>
    <w:rsid w:val="187907B9"/>
    <w:rsid w:val="18A53E7D"/>
    <w:rsid w:val="18C300C9"/>
    <w:rsid w:val="18C94AD3"/>
    <w:rsid w:val="18DF5F47"/>
    <w:rsid w:val="18EA23E1"/>
    <w:rsid w:val="19397BDE"/>
    <w:rsid w:val="195644EA"/>
    <w:rsid w:val="197B401F"/>
    <w:rsid w:val="1A216F18"/>
    <w:rsid w:val="1A694434"/>
    <w:rsid w:val="1AB30BDD"/>
    <w:rsid w:val="1AC15A62"/>
    <w:rsid w:val="1AE22348"/>
    <w:rsid w:val="1AE61A3B"/>
    <w:rsid w:val="1B080547"/>
    <w:rsid w:val="1C191CE5"/>
    <w:rsid w:val="1C455CA5"/>
    <w:rsid w:val="1C4921B3"/>
    <w:rsid w:val="1CA36361"/>
    <w:rsid w:val="1D01483C"/>
    <w:rsid w:val="1D1E411B"/>
    <w:rsid w:val="1D2C69D2"/>
    <w:rsid w:val="1DA238FE"/>
    <w:rsid w:val="1E060A18"/>
    <w:rsid w:val="1E7044FF"/>
    <w:rsid w:val="1E7B1F21"/>
    <w:rsid w:val="1E981776"/>
    <w:rsid w:val="1EB61656"/>
    <w:rsid w:val="1EDD3086"/>
    <w:rsid w:val="1EE66AA1"/>
    <w:rsid w:val="1F1B03F8"/>
    <w:rsid w:val="1F4A7659"/>
    <w:rsid w:val="1F7854E2"/>
    <w:rsid w:val="1FB64284"/>
    <w:rsid w:val="200F4D20"/>
    <w:rsid w:val="20126D60"/>
    <w:rsid w:val="201E1D45"/>
    <w:rsid w:val="205B4FEF"/>
    <w:rsid w:val="206F41B2"/>
    <w:rsid w:val="20825C93"/>
    <w:rsid w:val="21425371"/>
    <w:rsid w:val="216C71A5"/>
    <w:rsid w:val="21A571AA"/>
    <w:rsid w:val="21B34858"/>
    <w:rsid w:val="21C2643E"/>
    <w:rsid w:val="21C36564"/>
    <w:rsid w:val="21CD7075"/>
    <w:rsid w:val="222953F9"/>
    <w:rsid w:val="222D60D3"/>
    <w:rsid w:val="22301B4F"/>
    <w:rsid w:val="224D407F"/>
    <w:rsid w:val="225E5470"/>
    <w:rsid w:val="22736352"/>
    <w:rsid w:val="22FE603E"/>
    <w:rsid w:val="233B65CE"/>
    <w:rsid w:val="233F7E6C"/>
    <w:rsid w:val="23797316"/>
    <w:rsid w:val="239E00B4"/>
    <w:rsid w:val="23A423C5"/>
    <w:rsid w:val="23D507D0"/>
    <w:rsid w:val="23F70746"/>
    <w:rsid w:val="24503617"/>
    <w:rsid w:val="24525D5B"/>
    <w:rsid w:val="24B539F9"/>
    <w:rsid w:val="24D41B53"/>
    <w:rsid w:val="24E32A79"/>
    <w:rsid w:val="24E3432E"/>
    <w:rsid w:val="2501756F"/>
    <w:rsid w:val="251C7DC6"/>
    <w:rsid w:val="251E74A4"/>
    <w:rsid w:val="257F09F3"/>
    <w:rsid w:val="258204E4"/>
    <w:rsid w:val="25CB4399"/>
    <w:rsid w:val="261A290B"/>
    <w:rsid w:val="263F0AF1"/>
    <w:rsid w:val="26451C3D"/>
    <w:rsid w:val="26597A5E"/>
    <w:rsid w:val="265E11E3"/>
    <w:rsid w:val="269C2F87"/>
    <w:rsid w:val="26E079BC"/>
    <w:rsid w:val="27604855"/>
    <w:rsid w:val="277153D8"/>
    <w:rsid w:val="27843CE5"/>
    <w:rsid w:val="27955E6E"/>
    <w:rsid w:val="27BB7A1B"/>
    <w:rsid w:val="27EC7E96"/>
    <w:rsid w:val="28BB70ED"/>
    <w:rsid w:val="28DE0EE7"/>
    <w:rsid w:val="29096867"/>
    <w:rsid w:val="29121B7F"/>
    <w:rsid w:val="293143F3"/>
    <w:rsid w:val="29323FCF"/>
    <w:rsid w:val="29532CDC"/>
    <w:rsid w:val="296C4DC3"/>
    <w:rsid w:val="296D08C4"/>
    <w:rsid w:val="29B35110"/>
    <w:rsid w:val="2A294056"/>
    <w:rsid w:val="2A8E16D9"/>
    <w:rsid w:val="2B7C5DC4"/>
    <w:rsid w:val="2C440DBA"/>
    <w:rsid w:val="2C8E77D0"/>
    <w:rsid w:val="2CBE11D1"/>
    <w:rsid w:val="2D9D2E43"/>
    <w:rsid w:val="2DA27975"/>
    <w:rsid w:val="2DA57465"/>
    <w:rsid w:val="2DBD4F22"/>
    <w:rsid w:val="2E2C6BA8"/>
    <w:rsid w:val="2EAE121C"/>
    <w:rsid w:val="2EB77450"/>
    <w:rsid w:val="2F464330"/>
    <w:rsid w:val="2F5218A6"/>
    <w:rsid w:val="2F5D30AF"/>
    <w:rsid w:val="2FC260AC"/>
    <w:rsid w:val="2FCC2A87"/>
    <w:rsid w:val="2FEA5603"/>
    <w:rsid w:val="2FF921CA"/>
    <w:rsid w:val="30542A7D"/>
    <w:rsid w:val="305807BF"/>
    <w:rsid w:val="307125BB"/>
    <w:rsid w:val="3072301E"/>
    <w:rsid w:val="30CB315B"/>
    <w:rsid w:val="30DC319E"/>
    <w:rsid w:val="3168639F"/>
    <w:rsid w:val="317014FC"/>
    <w:rsid w:val="31D46A7E"/>
    <w:rsid w:val="31E4268D"/>
    <w:rsid w:val="320C50DF"/>
    <w:rsid w:val="324433EE"/>
    <w:rsid w:val="32513FFD"/>
    <w:rsid w:val="326422F3"/>
    <w:rsid w:val="32CA2987"/>
    <w:rsid w:val="32EB653A"/>
    <w:rsid w:val="32F742BF"/>
    <w:rsid w:val="32F860CE"/>
    <w:rsid w:val="332532E0"/>
    <w:rsid w:val="33576B0C"/>
    <w:rsid w:val="337F19CB"/>
    <w:rsid w:val="33B82047"/>
    <w:rsid w:val="33D60378"/>
    <w:rsid w:val="33E52369"/>
    <w:rsid w:val="33EB36B6"/>
    <w:rsid w:val="346F224F"/>
    <w:rsid w:val="3492696B"/>
    <w:rsid w:val="34C277A8"/>
    <w:rsid w:val="350B22A4"/>
    <w:rsid w:val="350C348F"/>
    <w:rsid w:val="35132F06"/>
    <w:rsid w:val="35303AB8"/>
    <w:rsid w:val="355F614C"/>
    <w:rsid w:val="35682F56"/>
    <w:rsid w:val="356E280A"/>
    <w:rsid w:val="357339A5"/>
    <w:rsid w:val="35755730"/>
    <w:rsid w:val="359758E5"/>
    <w:rsid w:val="35C10660"/>
    <w:rsid w:val="363136BA"/>
    <w:rsid w:val="36317AE8"/>
    <w:rsid w:val="36557C1C"/>
    <w:rsid w:val="367D0F7F"/>
    <w:rsid w:val="36932551"/>
    <w:rsid w:val="36BA5D2F"/>
    <w:rsid w:val="36E60E2C"/>
    <w:rsid w:val="36EA5EE9"/>
    <w:rsid w:val="372A5075"/>
    <w:rsid w:val="372F1B4E"/>
    <w:rsid w:val="3793493F"/>
    <w:rsid w:val="37A809B4"/>
    <w:rsid w:val="38215C46"/>
    <w:rsid w:val="382C0014"/>
    <w:rsid w:val="38605E07"/>
    <w:rsid w:val="387E7C8F"/>
    <w:rsid w:val="388D488F"/>
    <w:rsid w:val="38E7059D"/>
    <w:rsid w:val="39227BBC"/>
    <w:rsid w:val="394F3DE5"/>
    <w:rsid w:val="396F7A1A"/>
    <w:rsid w:val="397B44CF"/>
    <w:rsid w:val="3981022B"/>
    <w:rsid w:val="398E7608"/>
    <w:rsid w:val="39912D8A"/>
    <w:rsid w:val="399C3400"/>
    <w:rsid w:val="39E43470"/>
    <w:rsid w:val="39F63EFF"/>
    <w:rsid w:val="3B337E5E"/>
    <w:rsid w:val="3B4846C5"/>
    <w:rsid w:val="3B550268"/>
    <w:rsid w:val="3B670B70"/>
    <w:rsid w:val="3B9B5A04"/>
    <w:rsid w:val="3BA33558"/>
    <w:rsid w:val="3BCB6780"/>
    <w:rsid w:val="3C137DCE"/>
    <w:rsid w:val="3C42587C"/>
    <w:rsid w:val="3C75192F"/>
    <w:rsid w:val="3CCD7F9C"/>
    <w:rsid w:val="3CEC0A7B"/>
    <w:rsid w:val="3CFA450F"/>
    <w:rsid w:val="3D0D1101"/>
    <w:rsid w:val="3D233F03"/>
    <w:rsid w:val="3DAE10E8"/>
    <w:rsid w:val="3DE970EF"/>
    <w:rsid w:val="3E434E0A"/>
    <w:rsid w:val="3E6246F2"/>
    <w:rsid w:val="3E995338"/>
    <w:rsid w:val="3EB6242B"/>
    <w:rsid w:val="3EBC5F44"/>
    <w:rsid w:val="3EF23B8C"/>
    <w:rsid w:val="3F0538C0"/>
    <w:rsid w:val="3F3D29F9"/>
    <w:rsid w:val="3F3D531C"/>
    <w:rsid w:val="3F6902F3"/>
    <w:rsid w:val="3FC27987"/>
    <w:rsid w:val="3FFA3A10"/>
    <w:rsid w:val="3FFC4A76"/>
    <w:rsid w:val="4010076E"/>
    <w:rsid w:val="40823F6D"/>
    <w:rsid w:val="40A83FFF"/>
    <w:rsid w:val="40CD2C3F"/>
    <w:rsid w:val="40DD68A1"/>
    <w:rsid w:val="415A587A"/>
    <w:rsid w:val="41A41951"/>
    <w:rsid w:val="41CF6407"/>
    <w:rsid w:val="41FB36A0"/>
    <w:rsid w:val="421B789E"/>
    <w:rsid w:val="426B710B"/>
    <w:rsid w:val="428263A1"/>
    <w:rsid w:val="429612A3"/>
    <w:rsid w:val="42C35F6C"/>
    <w:rsid w:val="42CD0A98"/>
    <w:rsid w:val="431A0C09"/>
    <w:rsid w:val="43496A57"/>
    <w:rsid w:val="435A402D"/>
    <w:rsid w:val="43663830"/>
    <w:rsid w:val="43813731"/>
    <w:rsid w:val="439A62FF"/>
    <w:rsid w:val="43B70A87"/>
    <w:rsid w:val="43FE2FD4"/>
    <w:rsid w:val="440714FF"/>
    <w:rsid w:val="441766F6"/>
    <w:rsid w:val="441D607D"/>
    <w:rsid w:val="443E6CDE"/>
    <w:rsid w:val="449A0F4E"/>
    <w:rsid w:val="44D15B74"/>
    <w:rsid w:val="44DC50C3"/>
    <w:rsid w:val="44F92119"/>
    <w:rsid w:val="454D4212"/>
    <w:rsid w:val="456C495C"/>
    <w:rsid w:val="45974B67"/>
    <w:rsid w:val="459B1F08"/>
    <w:rsid w:val="462B7D2E"/>
    <w:rsid w:val="465E0AED"/>
    <w:rsid w:val="469115B8"/>
    <w:rsid w:val="46A37E62"/>
    <w:rsid w:val="46E12E64"/>
    <w:rsid w:val="46E91D19"/>
    <w:rsid w:val="477A0C38"/>
    <w:rsid w:val="4791488A"/>
    <w:rsid w:val="47AF2F63"/>
    <w:rsid w:val="47E23BB5"/>
    <w:rsid w:val="480E2158"/>
    <w:rsid w:val="48391EED"/>
    <w:rsid w:val="484961FF"/>
    <w:rsid w:val="48594C7C"/>
    <w:rsid w:val="48644554"/>
    <w:rsid w:val="487B2A83"/>
    <w:rsid w:val="490C38DF"/>
    <w:rsid w:val="49227764"/>
    <w:rsid w:val="4968786D"/>
    <w:rsid w:val="49793828"/>
    <w:rsid w:val="49E12EBD"/>
    <w:rsid w:val="49E52C6C"/>
    <w:rsid w:val="4A211AF6"/>
    <w:rsid w:val="4A6A6375"/>
    <w:rsid w:val="4A78747E"/>
    <w:rsid w:val="4A7B537E"/>
    <w:rsid w:val="4A842484"/>
    <w:rsid w:val="4B2E23F0"/>
    <w:rsid w:val="4B4A7D1A"/>
    <w:rsid w:val="4B4D2FD2"/>
    <w:rsid w:val="4B65373A"/>
    <w:rsid w:val="4B6D1058"/>
    <w:rsid w:val="4B865D88"/>
    <w:rsid w:val="4B9C1A50"/>
    <w:rsid w:val="4BB17792"/>
    <w:rsid w:val="4BE207B2"/>
    <w:rsid w:val="4C17726F"/>
    <w:rsid w:val="4C6B6E2D"/>
    <w:rsid w:val="4D00163A"/>
    <w:rsid w:val="4D0B5FEA"/>
    <w:rsid w:val="4D8A7681"/>
    <w:rsid w:val="4D8B3B2A"/>
    <w:rsid w:val="4DDC2DB7"/>
    <w:rsid w:val="4DE568B7"/>
    <w:rsid w:val="4E962786"/>
    <w:rsid w:val="4EDD626C"/>
    <w:rsid w:val="4EE15F2D"/>
    <w:rsid w:val="4EFE20DA"/>
    <w:rsid w:val="4F0F5BE3"/>
    <w:rsid w:val="4F391364"/>
    <w:rsid w:val="4F4628B7"/>
    <w:rsid w:val="4F577021"/>
    <w:rsid w:val="4F5A37B4"/>
    <w:rsid w:val="4F7B5DCD"/>
    <w:rsid w:val="4F7F63DF"/>
    <w:rsid w:val="4F9D18F3"/>
    <w:rsid w:val="4FB54E8E"/>
    <w:rsid w:val="4FDB79C1"/>
    <w:rsid w:val="500656EA"/>
    <w:rsid w:val="50096F88"/>
    <w:rsid w:val="50302767"/>
    <w:rsid w:val="504F7091"/>
    <w:rsid w:val="50666C93"/>
    <w:rsid w:val="50670C63"/>
    <w:rsid w:val="50722D7F"/>
    <w:rsid w:val="507D50A9"/>
    <w:rsid w:val="50B27620"/>
    <w:rsid w:val="51346287"/>
    <w:rsid w:val="51C4760A"/>
    <w:rsid w:val="51DC0DEF"/>
    <w:rsid w:val="52181704"/>
    <w:rsid w:val="522E717A"/>
    <w:rsid w:val="52307901"/>
    <w:rsid w:val="523813D8"/>
    <w:rsid w:val="52422029"/>
    <w:rsid w:val="524B1ADA"/>
    <w:rsid w:val="52DB7EEB"/>
    <w:rsid w:val="52E961B7"/>
    <w:rsid w:val="53065453"/>
    <w:rsid w:val="53206AC2"/>
    <w:rsid w:val="5346292C"/>
    <w:rsid w:val="537E1A3B"/>
    <w:rsid w:val="539020AC"/>
    <w:rsid w:val="53B51901"/>
    <w:rsid w:val="53C02053"/>
    <w:rsid w:val="54015EBD"/>
    <w:rsid w:val="549D0E68"/>
    <w:rsid w:val="55040901"/>
    <w:rsid w:val="553C10A7"/>
    <w:rsid w:val="556D48B4"/>
    <w:rsid w:val="55CB139C"/>
    <w:rsid w:val="566724AF"/>
    <w:rsid w:val="56A56907"/>
    <w:rsid w:val="56B22127"/>
    <w:rsid w:val="56DF05DE"/>
    <w:rsid w:val="57266671"/>
    <w:rsid w:val="574134AB"/>
    <w:rsid w:val="574B60D8"/>
    <w:rsid w:val="57563CB6"/>
    <w:rsid w:val="57787490"/>
    <w:rsid w:val="57C06AC6"/>
    <w:rsid w:val="57C32A65"/>
    <w:rsid w:val="57CE6FB5"/>
    <w:rsid w:val="57FC6189"/>
    <w:rsid w:val="58313520"/>
    <w:rsid w:val="588B70D4"/>
    <w:rsid w:val="58A84D1E"/>
    <w:rsid w:val="58AB0B4E"/>
    <w:rsid w:val="58AE254E"/>
    <w:rsid w:val="58D16635"/>
    <w:rsid w:val="590029F6"/>
    <w:rsid w:val="590863A5"/>
    <w:rsid w:val="593B1EE8"/>
    <w:rsid w:val="59524B61"/>
    <w:rsid w:val="59777658"/>
    <w:rsid w:val="59C56616"/>
    <w:rsid w:val="59F36CDF"/>
    <w:rsid w:val="5A0709DC"/>
    <w:rsid w:val="5A1016DA"/>
    <w:rsid w:val="5A257A61"/>
    <w:rsid w:val="5A26482C"/>
    <w:rsid w:val="5A405C9C"/>
    <w:rsid w:val="5A53777D"/>
    <w:rsid w:val="5A81078E"/>
    <w:rsid w:val="5A8470E3"/>
    <w:rsid w:val="5A871B1D"/>
    <w:rsid w:val="5A9F6E67"/>
    <w:rsid w:val="5AB3021C"/>
    <w:rsid w:val="5ABA77FD"/>
    <w:rsid w:val="5AC27315"/>
    <w:rsid w:val="5AC63828"/>
    <w:rsid w:val="5B24602D"/>
    <w:rsid w:val="5B417E69"/>
    <w:rsid w:val="5B680836"/>
    <w:rsid w:val="5B7B3430"/>
    <w:rsid w:val="5B967BA5"/>
    <w:rsid w:val="5B991686"/>
    <w:rsid w:val="5C806824"/>
    <w:rsid w:val="5C80762D"/>
    <w:rsid w:val="5C8A4BD8"/>
    <w:rsid w:val="5CB8477C"/>
    <w:rsid w:val="5CEA6A21"/>
    <w:rsid w:val="5D1072C7"/>
    <w:rsid w:val="5D125B88"/>
    <w:rsid w:val="5D186A5C"/>
    <w:rsid w:val="5D292087"/>
    <w:rsid w:val="5D2D69AC"/>
    <w:rsid w:val="5D3D22B4"/>
    <w:rsid w:val="5D3E1D05"/>
    <w:rsid w:val="5D5977A1"/>
    <w:rsid w:val="5DD15589"/>
    <w:rsid w:val="5DE60909"/>
    <w:rsid w:val="5DF70D68"/>
    <w:rsid w:val="5DFE3EA4"/>
    <w:rsid w:val="5E005E6E"/>
    <w:rsid w:val="5E056FE1"/>
    <w:rsid w:val="5E316028"/>
    <w:rsid w:val="5E59732C"/>
    <w:rsid w:val="5E5E7D91"/>
    <w:rsid w:val="5E7128C8"/>
    <w:rsid w:val="5E766130"/>
    <w:rsid w:val="5E806603"/>
    <w:rsid w:val="5ECA5D7B"/>
    <w:rsid w:val="5F073306"/>
    <w:rsid w:val="5F5F73B9"/>
    <w:rsid w:val="5F6740B8"/>
    <w:rsid w:val="5F7F7267"/>
    <w:rsid w:val="5FA3269A"/>
    <w:rsid w:val="5FD4404B"/>
    <w:rsid w:val="5FE578EB"/>
    <w:rsid w:val="5FFF5C99"/>
    <w:rsid w:val="601B582D"/>
    <w:rsid w:val="60940AF0"/>
    <w:rsid w:val="60C224BA"/>
    <w:rsid w:val="61007F33"/>
    <w:rsid w:val="613333CC"/>
    <w:rsid w:val="61924DCC"/>
    <w:rsid w:val="61A055D2"/>
    <w:rsid w:val="621A78A8"/>
    <w:rsid w:val="62255086"/>
    <w:rsid w:val="624D0F56"/>
    <w:rsid w:val="62716035"/>
    <w:rsid w:val="62810D49"/>
    <w:rsid w:val="628E0868"/>
    <w:rsid w:val="62E834B2"/>
    <w:rsid w:val="631A52DC"/>
    <w:rsid w:val="63301F64"/>
    <w:rsid w:val="63CE57F1"/>
    <w:rsid w:val="643C74D4"/>
    <w:rsid w:val="64416FAA"/>
    <w:rsid w:val="64490E50"/>
    <w:rsid w:val="646B23A8"/>
    <w:rsid w:val="64857B9E"/>
    <w:rsid w:val="64EF3BA0"/>
    <w:rsid w:val="650C6EA7"/>
    <w:rsid w:val="65297A59"/>
    <w:rsid w:val="659804A1"/>
    <w:rsid w:val="65E918D7"/>
    <w:rsid w:val="66003738"/>
    <w:rsid w:val="66230EA2"/>
    <w:rsid w:val="663A7A43"/>
    <w:rsid w:val="66C1162F"/>
    <w:rsid w:val="66C620BB"/>
    <w:rsid w:val="67325C35"/>
    <w:rsid w:val="674827FC"/>
    <w:rsid w:val="67787159"/>
    <w:rsid w:val="67900263"/>
    <w:rsid w:val="67C3695B"/>
    <w:rsid w:val="67C45C55"/>
    <w:rsid w:val="68230A07"/>
    <w:rsid w:val="68295FC1"/>
    <w:rsid w:val="6838144E"/>
    <w:rsid w:val="683A5820"/>
    <w:rsid w:val="68422D43"/>
    <w:rsid w:val="68540D2F"/>
    <w:rsid w:val="68617509"/>
    <w:rsid w:val="68710A69"/>
    <w:rsid w:val="68955405"/>
    <w:rsid w:val="68AA7398"/>
    <w:rsid w:val="68CB56AF"/>
    <w:rsid w:val="68F16ADF"/>
    <w:rsid w:val="691547A6"/>
    <w:rsid w:val="6925273D"/>
    <w:rsid w:val="69802EAF"/>
    <w:rsid w:val="69B953BE"/>
    <w:rsid w:val="6A6C57AE"/>
    <w:rsid w:val="6A7F636D"/>
    <w:rsid w:val="6A930EAF"/>
    <w:rsid w:val="6AD246EE"/>
    <w:rsid w:val="6AE34B4E"/>
    <w:rsid w:val="6AE54422"/>
    <w:rsid w:val="6AF01018"/>
    <w:rsid w:val="6B317667"/>
    <w:rsid w:val="6B433B68"/>
    <w:rsid w:val="6B6E578F"/>
    <w:rsid w:val="6B9E7D4E"/>
    <w:rsid w:val="6BCF6E80"/>
    <w:rsid w:val="6BDB5825"/>
    <w:rsid w:val="6C661592"/>
    <w:rsid w:val="6C717BE4"/>
    <w:rsid w:val="6C8E0AE9"/>
    <w:rsid w:val="6C991968"/>
    <w:rsid w:val="6C9F3405"/>
    <w:rsid w:val="6CD26C28"/>
    <w:rsid w:val="6D19440C"/>
    <w:rsid w:val="6D3454D5"/>
    <w:rsid w:val="6D437B25"/>
    <w:rsid w:val="6D611D5A"/>
    <w:rsid w:val="6D82064E"/>
    <w:rsid w:val="6DC521BF"/>
    <w:rsid w:val="6DE50BDD"/>
    <w:rsid w:val="6E1F40EF"/>
    <w:rsid w:val="6E405E13"/>
    <w:rsid w:val="6F15104E"/>
    <w:rsid w:val="6F7764ED"/>
    <w:rsid w:val="6FF2313D"/>
    <w:rsid w:val="703C4B29"/>
    <w:rsid w:val="703D260A"/>
    <w:rsid w:val="70447E3C"/>
    <w:rsid w:val="709314C4"/>
    <w:rsid w:val="70BD519D"/>
    <w:rsid w:val="70FF1FB5"/>
    <w:rsid w:val="71193077"/>
    <w:rsid w:val="711F1DA8"/>
    <w:rsid w:val="71216BCC"/>
    <w:rsid w:val="71D23226"/>
    <w:rsid w:val="72035492"/>
    <w:rsid w:val="720F447A"/>
    <w:rsid w:val="7256696C"/>
    <w:rsid w:val="72DB610A"/>
    <w:rsid w:val="73104006"/>
    <w:rsid w:val="732E4873"/>
    <w:rsid w:val="73A71F64"/>
    <w:rsid w:val="73C17986"/>
    <w:rsid w:val="73C44DF0"/>
    <w:rsid w:val="73C85B40"/>
    <w:rsid w:val="73CE282A"/>
    <w:rsid w:val="73E73FB5"/>
    <w:rsid w:val="742C597A"/>
    <w:rsid w:val="746971E8"/>
    <w:rsid w:val="74DE4FB2"/>
    <w:rsid w:val="74F55BA9"/>
    <w:rsid w:val="751029E3"/>
    <w:rsid w:val="75452E68"/>
    <w:rsid w:val="75771F75"/>
    <w:rsid w:val="759251A6"/>
    <w:rsid w:val="75A3600B"/>
    <w:rsid w:val="75A935E7"/>
    <w:rsid w:val="75CA3E44"/>
    <w:rsid w:val="75E83018"/>
    <w:rsid w:val="75EB4E71"/>
    <w:rsid w:val="762C1A00"/>
    <w:rsid w:val="763C5959"/>
    <w:rsid w:val="76766876"/>
    <w:rsid w:val="7693567A"/>
    <w:rsid w:val="76BA7D28"/>
    <w:rsid w:val="76F13C7D"/>
    <w:rsid w:val="770F36A5"/>
    <w:rsid w:val="771148DC"/>
    <w:rsid w:val="771A0A72"/>
    <w:rsid w:val="772207AC"/>
    <w:rsid w:val="773C544C"/>
    <w:rsid w:val="775876CA"/>
    <w:rsid w:val="776E6423"/>
    <w:rsid w:val="77B034B8"/>
    <w:rsid w:val="77F57C6E"/>
    <w:rsid w:val="78232A2D"/>
    <w:rsid w:val="7879089F"/>
    <w:rsid w:val="78B663C1"/>
    <w:rsid w:val="78B97A17"/>
    <w:rsid w:val="78C338C8"/>
    <w:rsid w:val="78EE303B"/>
    <w:rsid w:val="78F817C4"/>
    <w:rsid w:val="7900291B"/>
    <w:rsid w:val="791365FE"/>
    <w:rsid w:val="79170DCE"/>
    <w:rsid w:val="79685B6D"/>
    <w:rsid w:val="79946B31"/>
    <w:rsid w:val="79A65396"/>
    <w:rsid w:val="79B80F53"/>
    <w:rsid w:val="79BA28A5"/>
    <w:rsid w:val="7A350790"/>
    <w:rsid w:val="7B42141C"/>
    <w:rsid w:val="7B465346"/>
    <w:rsid w:val="7B652AE7"/>
    <w:rsid w:val="7B717023"/>
    <w:rsid w:val="7B790813"/>
    <w:rsid w:val="7BD246A9"/>
    <w:rsid w:val="7C7F53EB"/>
    <w:rsid w:val="7CE107C1"/>
    <w:rsid w:val="7D0E1816"/>
    <w:rsid w:val="7D4E40A8"/>
    <w:rsid w:val="7D663751"/>
    <w:rsid w:val="7DBD122E"/>
    <w:rsid w:val="7E0A55E2"/>
    <w:rsid w:val="7E1D3D2C"/>
    <w:rsid w:val="7E2748F9"/>
    <w:rsid w:val="7E660CDD"/>
    <w:rsid w:val="7E974C59"/>
    <w:rsid w:val="7E9A5F04"/>
    <w:rsid w:val="7EB059A5"/>
    <w:rsid w:val="7EBD001F"/>
    <w:rsid w:val="7EEBC53E"/>
    <w:rsid w:val="7F3336E7"/>
    <w:rsid w:val="7F370B6C"/>
    <w:rsid w:val="7F384992"/>
    <w:rsid w:val="7F40793C"/>
    <w:rsid w:val="7F531E4A"/>
    <w:rsid w:val="7F645E05"/>
    <w:rsid w:val="7FCF551E"/>
    <w:rsid w:val="7FE34C1A"/>
    <w:rsid w:val="FB4F5128"/>
    <w:rsid w:val="FD5FD638"/>
    <w:rsid w:val="FF1EA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link w:val="56"/>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2">
    <w:name w:val="heading 3"/>
    <w:basedOn w:val="1"/>
    <w:next w:val="1"/>
    <w:link w:val="54"/>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5">
    <w:name w:val="heading 4"/>
    <w:basedOn w:val="1"/>
    <w:next w:val="1"/>
    <w:link w:val="57"/>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paragraph" w:styleId="6">
    <w:name w:val="heading 5"/>
    <w:basedOn w:val="1"/>
    <w:next w:val="1"/>
    <w:link w:val="58"/>
    <w:qFormat/>
    <w:uiPriority w:val="0"/>
    <w:pPr>
      <w:keepNext/>
      <w:keepLines/>
      <w:adjustRightInd w:val="0"/>
      <w:spacing w:before="280" w:after="290" w:line="376" w:lineRule="atLeast"/>
      <w:textAlignment w:val="baseline"/>
      <w:outlineLvl w:val="4"/>
    </w:pPr>
    <w:rPr>
      <w:b/>
      <w:kern w:val="0"/>
      <w:sz w:val="28"/>
      <w:szCs w:val="20"/>
    </w:rPr>
  </w:style>
  <w:style w:type="paragraph" w:styleId="7">
    <w:name w:val="heading 6"/>
    <w:basedOn w:val="1"/>
    <w:next w:val="1"/>
    <w:link w:val="59"/>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8">
    <w:name w:val="heading 7"/>
    <w:basedOn w:val="1"/>
    <w:next w:val="1"/>
    <w:link w:val="60"/>
    <w:qFormat/>
    <w:uiPriority w:val="0"/>
    <w:pPr>
      <w:keepNext/>
      <w:keepLines/>
      <w:adjustRightInd w:val="0"/>
      <w:spacing w:before="240" w:after="64" w:line="320" w:lineRule="atLeast"/>
      <w:textAlignment w:val="baseline"/>
      <w:outlineLvl w:val="6"/>
    </w:pPr>
    <w:rPr>
      <w:b/>
      <w:kern w:val="0"/>
      <w:sz w:val="24"/>
      <w:szCs w:val="20"/>
    </w:rPr>
  </w:style>
  <w:style w:type="paragraph" w:styleId="9">
    <w:name w:val="heading 8"/>
    <w:basedOn w:val="1"/>
    <w:next w:val="1"/>
    <w:link w:val="61"/>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0">
    <w:name w:val="heading 9"/>
    <w:basedOn w:val="1"/>
    <w:next w:val="1"/>
    <w:link w:val="62"/>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table of authorities"/>
    <w:basedOn w:val="1"/>
    <w:next w:val="1"/>
    <w:unhideWhenUsed/>
    <w:qFormat/>
    <w:uiPriority w:val="99"/>
    <w:pPr>
      <w:ind w:left="420" w:leftChars="200"/>
    </w:pPr>
  </w:style>
  <w:style w:type="paragraph" w:styleId="13">
    <w:name w:val="Normal Indent"/>
    <w:basedOn w:val="1"/>
    <w:next w:val="1"/>
    <w:link w:val="63"/>
    <w:qFormat/>
    <w:uiPriority w:val="0"/>
    <w:pPr>
      <w:autoSpaceDE w:val="0"/>
      <w:autoSpaceDN w:val="0"/>
      <w:adjustRightInd w:val="0"/>
      <w:ind w:firstLine="420"/>
      <w:jc w:val="left"/>
    </w:pPr>
    <w:rPr>
      <w:rFonts w:ascii="宋体"/>
      <w:sz w:val="24"/>
    </w:r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64"/>
    <w:qFormat/>
    <w:uiPriority w:val="0"/>
    <w:pPr>
      <w:shd w:val="clear" w:color="auto" w:fill="000080"/>
    </w:pPr>
  </w:style>
  <w:style w:type="paragraph" w:styleId="16">
    <w:name w:val="annotation text"/>
    <w:basedOn w:val="1"/>
    <w:link w:val="65"/>
    <w:qFormat/>
    <w:uiPriority w:val="99"/>
    <w:pPr>
      <w:jc w:val="left"/>
    </w:pPr>
  </w:style>
  <w:style w:type="paragraph" w:styleId="17">
    <w:name w:val="Body Text 3"/>
    <w:basedOn w:val="1"/>
    <w:link w:val="66"/>
    <w:qFormat/>
    <w:uiPriority w:val="0"/>
    <w:pPr>
      <w:spacing w:after="120"/>
    </w:pPr>
    <w:rPr>
      <w:sz w:val="16"/>
      <w:szCs w:val="16"/>
    </w:rPr>
  </w:style>
  <w:style w:type="paragraph" w:styleId="18">
    <w:name w:val="Body Text"/>
    <w:basedOn w:val="1"/>
    <w:next w:val="1"/>
    <w:link w:val="67"/>
    <w:qFormat/>
    <w:uiPriority w:val="0"/>
    <w:pPr>
      <w:tabs>
        <w:tab w:val="left" w:pos="567"/>
      </w:tabs>
      <w:spacing w:before="120" w:line="22" w:lineRule="atLeast"/>
    </w:pPr>
    <w:rPr>
      <w:rFonts w:ascii="宋体" w:hAnsi="宋体"/>
      <w:sz w:val="24"/>
    </w:rPr>
  </w:style>
  <w:style w:type="paragraph" w:styleId="19">
    <w:name w:val="Body Text Indent"/>
    <w:basedOn w:val="1"/>
    <w:link w:val="68"/>
    <w:qFormat/>
    <w:uiPriority w:val="0"/>
    <w:pPr>
      <w:spacing w:line="360" w:lineRule="auto"/>
      <w:ind w:firstLine="570"/>
    </w:pPr>
    <w:rPr>
      <w:sz w:val="24"/>
    </w:rPr>
  </w:style>
  <w:style w:type="paragraph" w:styleId="20">
    <w:name w:val="List 2"/>
    <w:basedOn w:val="1"/>
    <w:qFormat/>
    <w:uiPriority w:val="0"/>
    <w:pPr>
      <w:ind w:left="100" w:leftChars="200" w:hanging="200" w:hangingChars="200"/>
    </w:pPr>
  </w:style>
  <w:style w:type="paragraph" w:styleId="21">
    <w:name w:val="Block Text"/>
    <w:basedOn w:val="1"/>
    <w:qFormat/>
    <w:uiPriority w:val="0"/>
    <w:pPr>
      <w:widowControl/>
      <w:ind w:left="480" w:right="-341" w:firstLine="513"/>
    </w:pPr>
    <w:rPr>
      <w:kern w:val="0"/>
      <w:sz w:val="24"/>
      <w:szCs w:val="20"/>
    </w:rPr>
  </w:style>
  <w:style w:type="paragraph" w:styleId="22">
    <w:name w:val="toc 5"/>
    <w:basedOn w:val="1"/>
    <w:next w:val="1"/>
    <w:qFormat/>
    <w:uiPriority w:val="0"/>
    <w:pPr>
      <w:ind w:left="1680" w:leftChars="800"/>
    </w:pPr>
  </w:style>
  <w:style w:type="paragraph" w:styleId="23">
    <w:name w:val="toc 3"/>
    <w:basedOn w:val="1"/>
    <w:next w:val="1"/>
    <w:qFormat/>
    <w:uiPriority w:val="39"/>
    <w:pPr>
      <w:ind w:left="840" w:leftChars="400"/>
    </w:pPr>
  </w:style>
  <w:style w:type="paragraph" w:styleId="24">
    <w:name w:val="Plain Text"/>
    <w:basedOn w:val="1"/>
    <w:next w:val="13"/>
    <w:link w:val="69"/>
    <w:qFormat/>
    <w:uiPriority w:val="0"/>
    <w:rPr>
      <w:rFonts w:hint="eastAsia" w:ascii="宋体" w:hAnsi="Courier New"/>
      <w:szCs w:val="20"/>
    </w:rPr>
  </w:style>
  <w:style w:type="paragraph" w:styleId="25">
    <w:name w:val="toc 8"/>
    <w:basedOn w:val="1"/>
    <w:next w:val="1"/>
    <w:qFormat/>
    <w:uiPriority w:val="0"/>
    <w:pPr>
      <w:ind w:left="2940" w:leftChars="1400"/>
    </w:pPr>
  </w:style>
  <w:style w:type="paragraph" w:styleId="26">
    <w:name w:val="Date"/>
    <w:basedOn w:val="1"/>
    <w:next w:val="1"/>
    <w:link w:val="70"/>
    <w:qFormat/>
    <w:uiPriority w:val="0"/>
    <w:pPr>
      <w:ind w:left="100" w:leftChars="2500"/>
    </w:pPr>
    <w:rPr>
      <w:rFonts w:ascii="仿宋_GB2312" w:hAnsi="宋体" w:eastAsia="仿宋_GB2312"/>
      <w:color w:val="000000"/>
      <w:sz w:val="24"/>
    </w:rPr>
  </w:style>
  <w:style w:type="paragraph" w:styleId="27">
    <w:name w:val="Body Text Indent 2"/>
    <w:basedOn w:val="1"/>
    <w:link w:val="71"/>
    <w:qFormat/>
    <w:uiPriority w:val="0"/>
    <w:pPr>
      <w:ind w:firstLine="480" w:firstLineChars="200"/>
    </w:pPr>
    <w:rPr>
      <w:rFonts w:ascii="仿宋_GB2312" w:eastAsia="仿宋_GB2312"/>
      <w:sz w:val="24"/>
    </w:rPr>
  </w:style>
  <w:style w:type="paragraph" w:styleId="28">
    <w:name w:val="Balloon Text"/>
    <w:basedOn w:val="1"/>
    <w:link w:val="72"/>
    <w:qFormat/>
    <w:uiPriority w:val="0"/>
    <w:rPr>
      <w:sz w:val="18"/>
      <w:szCs w:val="18"/>
    </w:rPr>
  </w:style>
  <w:style w:type="paragraph" w:styleId="29">
    <w:name w:val="footer"/>
    <w:basedOn w:val="1"/>
    <w:link w:val="73"/>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30">
    <w:name w:val="header"/>
    <w:basedOn w:val="1"/>
    <w:link w:val="74"/>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2">
    <w:name w:val="toc 4"/>
    <w:basedOn w:val="1"/>
    <w:next w:val="1"/>
    <w:qFormat/>
    <w:uiPriority w:val="0"/>
    <w:pPr>
      <w:ind w:left="1260" w:leftChars="600"/>
    </w:pPr>
  </w:style>
  <w:style w:type="paragraph" w:styleId="33">
    <w:name w:val="toc 6"/>
    <w:basedOn w:val="1"/>
    <w:next w:val="1"/>
    <w:qFormat/>
    <w:uiPriority w:val="0"/>
    <w:pPr>
      <w:ind w:left="2100" w:leftChars="1000"/>
    </w:pPr>
  </w:style>
  <w:style w:type="paragraph" w:styleId="34">
    <w:name w:val="Body Text Indent 3"/>
    <w:basedOn w:val="1"/>
    <w:link w:val="75"/>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HTML Preformatted"/>
    <w:basedOn w:val="1"/>
    <w:link w:val="7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rPr>
      <w:szCs w:val="20"/>
    </w:rPr>
  </w:style>
  <w:style w:type="paragraph" w:styleId="40">
    <w:name w:val="Title"/>
    <w:basedOn w:val="1"/>
    <w:link w:val="77"/>
    <w:qFormat/>
    <w:uiPriority w:val="0"/>
    <w:pPr>
      <w:jc w:val="center"/>
      <w:outlineLvl w:val="0"/>
    </w:pPr>
    <w:rPr>
      <w:b/>
      <w:sz w:val="32"/>
      <w:szCs w:val="20"/>
    </w:rPr>
  </w:style>
  <w:style w:type="paragraph" w:styleId="41">
    <w:name w:val="annotation subject"/>
    <w:basedOn w:val="16"/>
    <w:next w:val="16"/>
    <w:link w:val="78"/>
    <w:qFormat/>
    <w:uiPriority w:val="0"/>
    <w:rPr>
      <w:b/>
      <w:bCs/>
    </w:rPr>
  </w:style>
  <w:style w:type="paragraph" w:styleId="42">
    <w:name w:val="Body Text First Indent 2"/>
    <w:basedOn w:val="19"/>
    <w:link w:val="80"/>
    <w:qFormat/>
    <w:uiPriority w:val="0"/>
    <w:pPr>
      <w:spacing w:after="120" w:line="480" w:lineRule="exact"/>
      <w:ind w:left="420" w:leftChars="200" w:firstLine="420" w:firstLineChars="200"/>
    </w:pPr>
    <w:rPr>
      <w:szCs w:val="20"/>
    </w:rPr>
  </w:style>
  <w:style w:type="table" w:styleId="44">
    <w:name w:val="Table Grid"/>
    <w:basedOn w:val="4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5">
    <w:name w:val="Medium Grid 1 Accent 2"/>
    <w:basedOn w:val="43"/>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qFormat/>
    <w:uiPriority w:val="0"/>
    <w:rPr>
      <w:color w:val="CC0033"/>
    </w:rPr>
  </w:style>
  <w:style w:type="character" w:styleId="51">
    <w:name w:val="Hyperlink"/>
    <w:qFormat/>
    <w:uiPriority w:val="99"/>
    <w:rPr>
      <w:color w:val="0000FF"/>
      <w:u w:val="single"/>
    </w:rPr>
  </w:style>
  <w:style w:type="character" w:styleId="52">
    <w:name w:val="annotation reference"/>
    <w:qFormat/>
    <w:uiPriority w:val="99"/>
    <w:rPr>
      <w:sz w:val="21"/>
      <w:szCs w:val="21"/>
    </w:rPr>
  </w:style>
  <w:style w:type="character" w:styleId="53">
    <w:name w:val="HTML Cite"/>
    <w:qFormat/>
    <w:uiPriority w:val="0"/>
    <w:rPr>
      <w:i/>
      <w:iCs/>
    </w:rPr>
  </w:style>
  <w:style w:type="character" w:customStyle="1" w:styleId="54">
    <w:name w:val="标题 3 Char1"/>
    <w:link w:val="2"/>
    <w:qFormat/>
    <w:uiPriority w:val="0"/>
    <w:rPr>
      <w:rFonts w:ascii="宋体" w:eastAsia="宋体"/>
      <w:b/>
      <w:sz w:val="24"/>
      <w:u w:val="single"/>
      <w:lang w:val="en-US" w:eastAsia="zh-CN" w:bidi="ar-SA"/>
    </w:rPr>
  </w:style>
  <w:style w:type="character" w:customStyle="1" w:styleId="55">
    <w:name w:val="标题 1 Char"/>
    <w:basedOn w:val="46"/>
    <w:link w:val="3"/>
    <w:qFormat/>
    <w:uiPriority w:val="0"/>
    <w:rPr>
      <w:rFonts w:ascii="宋体"/>
      <w:b/>
      <w:kern w:val="44"/>
      <w:sz w:val="32"/>
    </w:rPr>
  </w:style>
  <w:style w:type="character" w:customStyle="1" w:styleId="56">
    <w:name w:val="标题 2 Char1"/>
    <w:link w:val="4"/>
    <w:qFormat/>
    <w:uiPriority w:val="0"/>
    <w:rPr>
      <w:rFonts w:ascii="Arial" w:hAnsi="Arial" w:eastAsia="黑体"/>
      <w:b/>
      <w:sz w:val="30"/>
      <w:lang w:val="en-US" w:eastAsia="zh-CN" w:bidi="ar-SA"/>
    </w:rPr>
  </w:style>
  <w:style w:type="character" w:customStyle="1" w:styleId="57">
    <w:name w:val="标题 4 Char"/>
    <w:basedOn w:val="46"/>
    <w:link w:val="5"/>
    <w:qFormat/>
    <w:uiPriority w:val="0"/>
    <w:rPr>
      <w:rFonts w:ascii="Arial" w:hAnsi="Arial" w:eastAsia="黑体"/>
      <w:b/>
      <w:sz w:val="28"/>
    </w:rPr>
  </w:style>
  <w:style w:type="character" w:customStyle="1" w:styleId="58">
    <w:name w:val="标题 5 Char"/>
    <w:basedOn w:val="46"/>
    <w:link w:val="6"/>
    <w:qFormat/>
    <w:uiPriority w:val="0"/>
    <w:rPr>
      <w:b/>
      <w:sz w:val="28"/>
    </w:rPr>
  </w:style>
  <w:style w:type="character" w:customStyle="1" w:styleId="59">
    <w:name w:val="标题 6 Char"/>
    <w:basedOn w:val="46"/>
    <w:link w:val="7"/>
    <w:qFormat/>
    <w:uiPriority w:val="0"/>
    <w:rPr>
      <w:rFonts w:ascii="Arial" w:hAnsi="Arial" w:eastAsia="黑体"/>
      <w:b/>
      <w:sz w:val="24"/>
    </w:rPr>
  </w:style>
  <w:style w:type="character" w:customStyle="1" w:styleId="60">
    <w:name w:val="标题 7 Char"/>
    <w:basedOn w:val="46"/>
    <w:link w:val="8"/>
    <w:qFormat/>
    <w:uiPriority w:val="0"/>
    <w:rPr>
      <w:b/>
      <w:sz w:val="24"/>
    </w:rPr>
  </w:style>
  <w:style w:type="character" w:customStyle="1" w:styleId="61">
    <w:name w:val="标题 8 Char"/>
    <w:basedOn w:val="46"/>
    <w:link w:val="9"/>
    <w:qFormat/>
    <w:uiPriority w:val="0"/>
    <w:rPr>
      <w:rFonts w:ascii="Arial" w:hAnsi="Arial" w:eastAsia="黑体"/>
      <w:sz w:val="24"/>
    </w:rPr>
  </w:style>
  <w:style w:type="character" w:customStyle="1" w:styleId="62">
    <w:name w:val="标题 9 Char"/>
    <w:basedOn w:val="46"/>
    <w:link w:val="10"/>
    <w:qFormat/>
    <w:uiPriority w:val="0"/>
    <w:rPr>
      <w:rFonts w:ascii="Arial" w:hAnsi="Arial" w:eastAsia="黑体"/>
      <w:sz w:val="21"/>
    </w:rPr>
  </w:style>
  <w:style w:type="character" w:customStyle="1" w:styleId="63">
    <w:name w:val="正文缩进 Char1"/>
    <w:link w:val="13"/>
    <w:qFormat/>
    <w:uiPriority w:val="0"/>
    <w:rPr>
      <w:rFonts w:ascii="宋体" w:eastAsia="宋体"/>
      <w:kern w:val="2"/>
      <w:sz w:val="24"/>
      <w:szCs w:val="24"/>
      <w:lang w:val="en-US" w:eastAsia="zh-CN" w:bidi="ar-SA"/>
    </w:rPr>
  </w:style>
  <w:style w:type="character" w:customStyle="1" w:styleId="64">
    <w:name w:val="文档结构图 Char"/>
    <w:basedOn w:val="46"/>
    <w:link w:val="15"/>
    <w:qFormat/>
    <w:uiPriority w:val="0"/>
    <w:rPr>
      <w:kern w:val="2"/>
      <w:sz w:val="21"/>
      <w:szCs w:val="24"/>
      <w:shd w:val="clear" w:color="auto" w:fill="000080"/>
    </w:rPr>
  </w:style>
  <w:style w:type="character" w:customStyle="1" w:styleId="65">
    <w:name w:val="批注文字 Char1"/>
    <w:link w:val="16"/>
    <w:qFormat/>
    <w:uiPriority w:val="99"/>
    <w:rPr>
      <w:kern w:val="2"/>
      <w:sz w:val="21"/>
      <w:szCs w:val="24"/>
    </w:rPr>
  </w:style>
  <w:style w:type="character" w:customStyle="1" w:styleId="66">
    <w:name w:val="正文文本 3 Char"/>
    <w:basedOn w:val="46"/>
    <w:link w:val="17"/>
    <w:qFormat/>
    <w:uiPriority w:val="0"/>
    <w:rPr>
      <w:kern w:val="2"/>
      <w:sz w:val="16"/>
      <w:szCs w:val="16"/>
    </w:rPr>
  </w:style>
  <w:style w:type="character" w:customStyle="1" w:styleId="67">
    <w:name w:val="正文文本 Char"/>
    <w:basedOn w:val="46"/>
    <w:link w:val="18"/>
    <w:qFormat/>
    <w:uiPriority w:val="0"/>
    <w:rPr>
      <w:rFonts w:ascii="宋体" w:hAnsi="宋体"/>
      <w:kern w:val="2"/>
      <w:sz w:val="24"/>
      <w:szCs w:val="24"/>
    </w:rPr>
  </w:style>
  <w:style w:type="character" w:customStyle="1" w:styleId="68">
    <w:name w:val="正文文本缩进 Char2"/>
    <w:link w:val="19"/>
    <w:qFormat/>
    <w:uiPriority w:val="0"/>
    <w:rPr>
      <w:rFonts w:eastAsia="宋体"/>
      <w:kern w:val="2"/>
      <w:sz w:val="24"/>
      <w:szCs w:val="24"/>
      <w:lang w:val="en-US" w:eastAsia="zh-CN" w:bidi="ar-SA"/>
    </w:rPr>
  </w:style>
  <w:style w:type="character" w:customStyle="1" w:styleId="69">
    <w:name w:val="纯文本 Char"/>
    <w:basedOn w:val="46"/>
    <w:link w:val="24"/>
    <w:qFormat/>
    <w:uiPriority w:val="0"/>
    <w:rPr>
      <w:rFonts w:hint="eastAsia" w:ascii="宋体" w:hAnsi="Courier New" w:eastAsia="宋体" w:cs="宋体"/>
      <w:kern w:val="2"/>
      <w:sz w:val="21"/>
    </w:rPr>
  </w:style>
  <w:style w:type="character" w:customStyle="1" w:styleId="70">
    <w:name w:val="日期 Char"/>
    <w:basedOn w:val="46"/>
    <w:link w:val="26"/>
    <w:qFormat/>
    <w:uiPriority w:val="0"/>
    <w:rPr>
      <w:rFonts w:ascii="仿宋_GB2312" w:hAnsi="宋体" w:eastAsia="仿宋_GB2312"/>
      <w:color w:val="000000"/>
      <w:kern w:val="2"/>
      <w:sz w:val="24"/>
      <w:szCs w:val="24"/>
    </w:rPr>
  </w:style>
  <w:style w:type="character" w:customStyle="1" w:styleId="71">
    <w:name w:val="正文文本缩进 2 Char"/>
    <w:basedOn w:val="46"/>
    <w:link w:val="27"/>
    <w:qFormat/>
    <w:uiPriority w:val="0"/>
    <w:rPr>
      <w:rFonts w:ascii="仿宋_GB2312" w:eastAsia="仿宋_GB2312"/>
      <w:kern w:val="2"/>
      <w:sz w:val="24"/>
      <w:szCs w:val="24"/>
    </w:rPr>
  </w:style>
  <w:style w:type="character" w:customStyle="1" w:styleId="72">
    <w:name w:val="批注框文本 Char"/>
    <w:basedOn w:val="46"/>
    <w:link w:val="28"/>
    <w:qFormat/>
    <w:uiPriority w:val="0"/>
    <w:rPr>
      <w:kern w:val="2"/>
      <w:sz w:val="18"/>
      <w:szCs w:val="18"/>
    </w:rPr>
  </w:style>
  <w:style w:type="character" w:customStyle="1" w:styleId="73">
    <w:name w:val="页脚 Char1"/>
    <w:link w:val="29"/>
    <w:qFormat/>
    <w:uiPriority w:val="99"/>
    <w:rPr>
      <w:rFonts w:ascii="宋体" w:eastAsia="宋体"/>
      <w:sz w:val="18"/>
      <w:lang w:val="en-US" w:eastAsia="zh-CN" w:bidi="ar-SA"/>
    </w:rPr>
  </w:style>
  <w:style w:type="character" w:customStyle="1" w:styleId="74">
    <w:name w:val="页眉 Char1"/>
    <w:link w:val="30"/>
    <w:qFormat/>
    <w:uiPriority w:val="0"/>
    <w:rPr>
      <w:rFonts w:eastAsia="宋体"/>
      <w:kern w:val="2"/>
      <w:sz w:val="18"/>
      <w:szCs w:val="18"/>
      <w:lang w:val="en-US" w:eastAsia="zh-CN" w:bidi="ar-SA"/>
    </w:rPr>
  </w:style>
  <w:style w:type="character" w:customStyle="1" w:styleId="75">
    <w:name w:val="正文文本缩进 3 Char"/>
    <w:basedOn w:val="46"/>
    <w:link w:val="34"/>
    <w:qFormat/>
    <w:uiPriority w:val="0"/>
    <w:rPr>
      <w:rFonts w:ascii="宋体"/>
      <w:sz w:val="24"/>
    </w:rPr>
  </w:style>
  <w:style w:type="character" w:customStyle="1" w:styleId="76">
    <w:name w:val="HTML 预设格式 Char"/>
    <w:basedOn w:val="46"/>
    <w:link w:val="37"/>
    <w:qFormat/>
    <w:uiPriority w:val="0"/>
    <w:rPr>
      <w:rFonts w:ascii="宋体" w:hAnsi="宋体" w:cs="宋体"/>
      <w:sz w:val="24"/>
      <w:szCs w:val="24"/>
    </w:rPr>
  </w:style>
  <w:style w:type="character" w:customStyle="1" w:styleId="77">
    <w:name w:val="标题 Char1"/>
    <w:link w:val="40"/>
    <w:qFormat/>
    <w:uiPriority w:val="0"/>
    <w:rPr>
      <w:b/>
      <w:kern w:val="2"/>
      <w:sz w:val="32"/>
    </w:rPr>
  </w:style>
  <w:style w:type="character" w:customStyle="1" w:styleId="78">
    <w:name w:val="批注主题 Char"/>
    <w:basedOn w:val="79"/>
    <w:link w:val="41"/>
    <w:qFormat/>
    <w:uiPriority w:val="0"/>
    <w:rPr>
      <w:rFonts w:ascii="Times New Roman" w:hAnsi="Times New Roman" w:eastAsia="宋体" w:cs="Times New Roman"/>
      <w:b/>
      <w:bCs/>
      <w:kern w:val="2"/>
      <w:sz w:val="21"/>
      <w:szCs w:val="24"/>
      <w:lang w:val="en-US" w:eastAsia="zh-CN" w:bidi="ar-SA"/>
    </w:rPr>
  </w:style>
  <w:style w:type="character" w:customStyle="1" w:styleId="79">
    <w:name w:val="批注文字 字符"/>
    <w:qFormat/>
    <w:uiPriority w:val="99"/>
    <w:rPr>
      <w:rFonts w:ascii="Times New Roman" w:hAnsi="Times New Roman" w:eastAsia="宋体" w:cs="Times New Roman"/>
      <w:sz w:val="24"/>
      <w:lang w:val="en-US" w:eastAsia="zh-CN" w:bidi="ar-SA"/>
    </w:rPr>
  </w:style>
  <w:style w:type="character" w:customStyle="1" w:styleId="80">
    <w:name w:val="正文首行缩进 2 Char"/>
    <w:basedOn w:val="68"/>
    <w:link w:val="42"/>
    <w:qFormat/>
    <w:uiPriority w:val="0"/>
    <w:rPr>
      <w:rFonts w:eastAsia="宋体"/>
      <w:kern w:val="2"/>
      <w:sz w:val="24"/>
      <w:szCs w:val="24"/>
      <w:lang w:val="en-US" w:eastAsia="zh-CN" w:bidi="ar-SA"/>
    </w:rPr>
  </w:style>
  <w:style w:type="paragraph" w:customStyle="1" w:styleId="81">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character" w:customStyle="1" w:styleId="82">
    <w:name w:val="c21"/>
    <w:qFormat/>
    <w:uiPriority w:val="0"/>
    <w:rPr>
      <w:rFonts w:hint="default" w:ascii="ˎ̥" w:hAnsi="ˎ̥"/>
      <w:color w:val="000000"/>
      <w:sz w:val="20"/>
      <w:szCs w:val="20"/>
      <w:u w:val="none"/>
    </w:rPr>
  </w:style>
  <w:style w:type="character" w:customStyle="1" w:styleId="83">
    <w:name w:val="title4"/>
    <w:qFormat/>
    <w:uiPriority w:val="0"/>
    <w:rPr>
      <w:b/>
      <w:bCs/>
      <w:color w:val="1D87B3"/>
      <w:sz w:val="15"/>
      <w:szCs w:val="15"/>
    </w:rPr>
  </w:style>
  <w:style w:type="character" w:customStyle="1" w:styleId="84">
    <w:name w:val="标题 2 Char Char"/>
    <w:qFormat/>
    <w:uiPriority w:val="0"/>
    <w:rPr>
      <w:rFonts w:ascii="Arial" w:hAnsi="Arial" w:eastAsia="黑体"/>
      <w:b/>
      <w:bCs/>
      <w:kern w:val="2"/>
      <w:sz w:val="32"/>
      <w:szCs w:val="32"/>
      <w:lang w:val="en-US" w:eastAsia="zh-CN" w:bidi="ar-SA"/>
    </w:rPr>
  </w:style>
  <w:style w:type="character" w:customStyle="1" w:styleId="85">
    <w:name w:val="black1"/>
    <w:qFormat/>
    <w:uiPriority w:val="0"/>
    <w:rPr>
      <w:color w:val="000000"/>
    </w:rPr>
  </w:style>
  <w:style w:type="character" w:customStyle="1" w:styleId="86">
    <w:name w:val="street-address"/>
    <w:basedOn w:val="46"/>
    <w:qFormat/>
    <w:uiPriority w:val="0"/>
  </w:style>
  <w:style w:type="character" w:customStyle="1" w:styleId="87">
    <w:name w:val="locality"/>
    <w:basedOn w:val="46"/>
    <w:qFormat/>
    <w:uiPriority w:val="0"/>
  </w:style>
  <w:style w:type="character" w:customStyle="1" w:styleId="88">
    <w:name w:val="正文文本缩进 Char1"/>
    <w:link w:val="89"/>
    <w:qFormat/>
    <w:uiPriority w:val="0"/>
    <w:rPr>
      <w:rFonts w:ascii="宋体" w:hAnsi="宋体" w:eastAsia="宋体"/>
      <w:sz w:val="24"/>
      <w:szCs w:val="24"/>
      <w:lang w:bidi="ar-SA"/>
    </w:rPr>
  </w:style>
  <w:style w:type="paragraph" w:customStyle="1" w:styleId="89">
    <w:name w:val="正文文本缩进1"/>
    <w:basedOn w:val="1"/>
    <w:link w:val="88"/>
    <w:qFormat/>
    <w:uiPriority w:val="0"/>
    <w:pPr>
      <w:spacing w:line="480" w:lineRule="exact"/>
      <w:ind w:firstLine="480" w:firstLineChars="200"/>
    </w:pPr>
    <w:rPr>
      <w:rFonts w:ascii="宋体" w:hAnsi="宋体"/>
      <w:kern w:val="0"/>
      <w:sz w:val="24"/>
    </w:rPr>
  </w:style>
  <w:style w:type="character" w:customStyle="1" w:styleId="90">
    <w:name w:val="Char Char11"/>
    <w:qFormat/>
    <w:uiPriority w:val="0"/>
    <w:rPr>
      <w:rFonts w:ascii="宋体" w:eastAsia="宋体"/>
      <w:b/>
      <w:sz w:val="24"/>
      <w:u w:val="single"/>
      <w:lang w:val="en-US" w:eastAsia="zh-CN" w:bidi="ar-SA"/>
    </w:rPr>
  </w:style>
  <w:style w:type="character" w:customStyle="1" w:styleId="91">
    <w:name w:val="txt"/>
    <w:basedOn w:val="46"/>
    <w:qFormat/>
    <w:uiPriority w:val="0"/>
  </w:style>
  <w:style w:type="character" w:customStyle="1" w:styleId="92">
    <w:name w:val="正文缩进 Char Char"/>
    <w:link w:val="93"/>
    <w:qFormat/>
    <w:uiPriority w:val="0"/>
    <w:rPr>
      <w:rFonts w:ascii="宋体" w:eastAsia="宋体"/>
      <w:snapToGrid w:val="0"/>
      <w:color w:val="000000"/>
      <w:kern w:val="28"/>
      <w:sz w:val="28"/>
      <w:lang w:bidi="ar-SA"/>
    </w:rPr>
  </w:style>
  <w:style w:type="paragraph" w:customStyle="1" w:styleId="93">
    <w:name w:val="正文缩进1"/>
    <w:basedOn w:val="1"/>
    <w:link w:val="92"/>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94">
    <w:name w:val="普通文字1 Char1"/>
    <w:qFormat/>
    <w:uiPriority w:val="0"/>
    <w:rPr>
      <w:rFonts w:ascii="宋体" w:hAnsi="Courier New" w:eastAsia="宋体"/>
      <w:kern w:val="2"/>
      <w:sz w:val="21"/>
      <w:lang w:val="en-US" w:eastAsia="zh-CN" w:bidi="ar-SA"/>
    </w:rPr>
  </w:style>
  <w:style w:type="character" w:customStyle="1" w:styleId="95">
    <w:name w:val="chanpin1"/>
    <w:qFormat/>
    <w:uiPriority w:val="0"/>
    <w:rPr>
      <w:rFonts w:hint="default" w:ascii="ˎ̥" w:hAnsi="ˎ̥"/>
      <w:color w:val="000000"/>
      <w:sz w:val="20"/>
      <w:szCs w:val="20"/>
      <w:u w:val="none"/>
    </w:rPr>
  </w:style>
  <w:style w:type="character" w:customStyle="1" w:styleId="96">
    <w:name w:val="列出段落 Char1"/>
    <w:link w:val="97"/>
    <w:qFormat/>
    <w:uiPriority w:val="34"/>
    <w:rPr>
      <w:rFonts w:ascii="Calibri" w:hAnsi="Calibri" w:eastAsia="宋体"/>
      <w:kern w:val="2"/>
      <w:sz w:val="21"/>
      <w:szCs w:val="22"/>
      <w:lang w:val="en-US" w:eastAsia="zh-CN" w:bidi="ar-SA"/>
    </w:rPr>
  </w:style>
  <w:style w:type="paragraph" w:styleId="97">
    <w:name w:val="List Paragraph"/>
    <w:basedOn w:val="1"/>
    <w:link w:val="96"/>
    <w:qFormat/>
    <w:uiPriority w:val="34"/>
    <w:pPr>
      <w:ind w:firstLine="420" w:firstLineChars="200"/>
    </w:pPr>
    <w:rPr>
      <w:rFonts w:ascii="Calibri" w:hAnsi="Calibri"/>
      <w:szCs w:val="22"/>
    </w:rPr>
  </w:style>
  <w:style w:type="character" w:customStyle="1" w:styleId="98">
    <w:name w:val="标题 3 Char Char"/>
    <w:qFormat/>
    <w:uiPriority w:val="0"/>
    <w:rPr>
      <w:rFonts w:eastAsia="宋体"/>
      <w:b/>
      <w:bCs/>
      <w:kern w:val="2"/>
      <w:sz w:val="32"/>
      <w:szCs w:val="32"/>
      <w:lang w:val="en-US" w:eastAsia="zh-CN" w:bidi="ar-SA"/>
    </w:rPr>
  </w:style>
  <w:style w:type="character" w:customStyle="1" w:styleId="99">
    <w:name w:val="段1 Char"/>
    <w:qFormat/>
    <w:uiPriority w:val="0"/>
    <w:rPr>
      <w:rFonts w:ascii="宋体" w:eastAsia="宋体"/>
      <w:sz w:val="24"/>
      <w:lang w:val="en-US" w:eastAsia="zh-CN" w:bidi="ar-SA"/>
    </w:rPr>
  </w:style>
  <w:style w:type="character" w:customStyle="1" w:styleId="100">
    <w:name w:val="chanpin拷贝"/>
    <w:basedOn w:val="46"/>
    <w:qFormat/>
    <w:uiPriority w:val="0"/>
  </w:style>
  <w:style w:type="character" w:customStyle="1" w:styleId="101">
    <w:name w:val="纯文本 Char1"/>
    <w:qFormat/>
    <w:uiPriority w:val="0"/>
    <w:rPr>
      <w:rFonts w:ascii="宋体" w:hAnsi="Courier New" w:eastAsia="宋体"/>
      <w:kern w:val="2"/>
      <w:sz w:val="21"/>
      <w:lang w:val="en-US" w:eastAsia="zh-CN" w:bidi="ar-SA"/>
    </w:rPr>
  </w:style>
  <w:style w:type="character" w:customStyle="1" w:styleId="102">
    <w:name w:val="apple-style-span"/>
    <w:qFormat/>
    <w:uiPriority w:val="0"/>
    <w:rPr>
      <w:rFonts w:cs="Times New Roman"/>
    </w:rPr>
  </w:style>
  <w:style w:type="paragraph" w:customStyle="1" w:styleId="103">
    <w:name w:val="二级条标题"/>
    <w:basedOn w:val="104"/>
    <w:next w:val="1"/>
    <w:qFormat/>
    <w:uiPriority w:val="0"/>
    <w:pPr>
      <w:numPr>
        <w:ilvl w:val="0"/>
        <w:numId w:val="0"/>
      </w:numPr>
      <w:tabs>
        <w:tab w:val="left" w:pos="360"/>
        <w:tab w:val="left" w:pos="840"/>
      </w:tabs>
      <w:ind w:hanging="840"/>
      <w:outlineLvl w:val="2"/>
    </w:pPr>
    <w:rPr>
      <w:rFonts w:ascii="宋体" w:eastAsia="宋体"/>
      <w:b w:val="0"/>
    </w:rPr>
  </w:style>
  <w:style w:type="paragraph" w:customStyle="1" w:styleId="104">
    <w:name w:val="一级条标题"/>
    <w:basedOn w:val="105"/>
    <w:next w:val="1"/>
    <w:qFormat/>
    <w:uiPriority w:val="0"/>
    <w:pPr>
      <w:numPr>
        <w:ilvl w:val="1"/>
      </w:numPr>
      <w:tabs>
        <w:tab w:val="left" w:pos="360"/>
        <w:tab w:val="left" w:pos="840"/>
      </w:tabs>
      <w:ind w:left="0" w:hanging="840"/>
      <w:outlineLvl w:val="1"/>
    </w:pPr>
  </w:style>
  <w:style w:type="paragraph" w:customStyle="1" w:styleId="105">
    <w:name w:val="章标题"/>
    <w:next w:val="1"/>
    <w:qFormat/>
    <w:uiPriority w:val="0"/>
    <w:pPr>
      <w:numPr>
        <w:ilvl w:val="0"/>
        <w:numId w:val="1"/>
      </w:numPr>
      <w:spacing w:beforeLines="50" w:afterLines="50" w:line="460" w:lineRule="exact"/>
      <w:ind w:left="0"/>
      <w:jc w:val="both"/>
      <w:outlineLvl w:val="0"/>
    </w:pPr>
    <w:rPr>
      <w:rFonts w:ascii="黑体" w:hAnsi="Times New Roman" w:eastAsia="黑体" w:cs="Times New Roman"/>
      <w:b/>
      <w:sz w:val="28"/>
      <w:lang w:val="en-US" w:eastAsia="zh-CN" w:bidi="ar-SA"/>
    </w:rPr>
  </w:style>
  <w:style w:type="paragraph" w:customStyle="1" w:styleId="106">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107">
    <w:name w:val="字元 字元"/>
    <w:basedOn w:val="1"/>
    <w:qFormat/>
    <w:uiPriority w:val="0"/>
    <w:rPr>
      <w:rFonts w:ascii="Tahoma" w:hAnsi="Tahoma"/>
      <w:sz w:val="24"/>
      <w:szCs w:val="20"/>
    </w:rPr>
  </w:style>
  <w:style w:type="paragraph" w:customStyle="1" w:styleId="108">
    <w:name w:val="Char3 Char Char Char"/>
    <w:basedOn w:val="1"/>
    <w:qFormat/>
    <w:uiPriority w:val="0"/>
    <w:rPr>
      <w:rFonts w:ascii="Tahoma" w:hAnsi="Tahoma"/>
      <w:sz w:val="24"/>
      <w:szCs w:val="20"/>
    </w:rPr>
  </w:style>
  <w:style w:type="paragraph" w:customStyle="1" w:styleId="109">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10">
    <w:name w:val="项目编号2"/>
    <w:basedOn w:val="111"/>
    <w:qFormat/>
    <w:uiPriority w:val="0"/>
    <w:pPr>
      <w:numPr>
        <w:numId w:val="2"/>
      </w:numPr>
    </w:pPr>
  </w:style>
  <w:style w:type="paragraph" w:customStyle="1" w:styleId="111">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112">
    <w:name w:val="图中文字"/>
    <w:basedOn w:val="1"/>
    <w:qFormat/>
    <w:uiPriority w:val="0"/>
    <w:pPr>
      <w:adjustRightInd w:val="0"/>
      <w:snapToGrid w:val="0"/>
      <w:spacing w:line="0" w:lineRule="atLeast"/>
      <w:jc w:val="center"/>
    </w:pPr>
    <w:rPr>
      <w:sz w:val="24"/>
      <w:szCs w:val="20"/>
    </w:rPr>
  </w:style>
  <w:style w:type="paragraph" w:customStyle="1" w:styleId="113">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115">
    <w:name w:val="Char2"/>
    <w:basedOn w:val="1"/>
    <w:qFormat/>
    <w:uiPriority w:val="0"/>
    <w:rPr>
      <w:rFonts w:ascii="Tahoma" w:hAnsi="Tahoma"/>
      <w:sz w:val="24"/>
      <w:szCs w:val="20"/>
    </w:rPr>
  </w:style>
  <w:style w:type="paragraph" w:customStyle="1" w:styleId="11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119">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20">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1">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2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23">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24">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25">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26">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27">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28">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29">
    <w:name w:val="font8"/>
    <w:basedOn w:val="1"/>
    <w:qFormat/>
    <w:uiPriority w:val="0"/>
    <w:pPr>
      <w:widowControl/>
      <w:spacing w:before="100" w:beforeAutospacing="1" w:after="100" w:afterAutospacing="1"/>
      <w:jc w:val="left"/>
    </w:pPr>
    <w:rPr>
      <w:kern w:val="0"/>
      <w:sz w:val="36"/>
      <w:szCs w:val="36"/>
    </w:rPr>
  </w:style>
  <w:style w:type="paragraph" w:customStyle="1" w:styleId="130">
    <w:name w:val="Char"/>
    <w:basedOn w:val="1"/>
    <w:qFormat/>
    <w:uiPriority w:val="0"/>
    <w:pPr>
      <w:tabs>
        <w:tab w:val="left" w:pos="360"/>
      </w:tabs>
    </w:pPr>
    <w:rPr>
      <w:sz w:val="24"/>
    </w:rPr>
  </w:style>
  <w:style w:type="paragraph" w:customStyle="1" w:styleId="131">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32">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33">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4">
    <w:name w:val="Char Char1"/>
    <w:basedOn w:val="15"/>
    <w:qFormat/>
    <w:uiPriority w:val="0"/>
    <w:rPr>
      <w:rFonts w:ascii="Tahoma" w:hAnsi="Tahoma"/>
      <w:sz w:val="24"/>
    </w:rPr>
  </w:style>
  <w:style w:type="paragraph" w:customStyle="1" w:styleId="13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3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37">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38">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39">
    <w:name w:val="Char1 Char Char Char1"/>
    <w:basedOn w:val="1"/>
    <w:qFormat/>
    <w:uiPriority w:val="0"/>
    <w:rPr>
      <w:rFonts w:ascii="Tahoma" w:hAnsi="Tahoma" w:cs="仿宋_GB2312"/>
      <w:sz w:val="24"/>
      <w:szCs w:val="28"/>
    </w:rPr>
  </w:style>
  <w:style w:type="paragraph" w:customStyle="1" w:styleId="140">
    <w:name w:val="四级条标题"/>
    <w:basedOn w:val="141"/>
    <w:next w:val="1"/>
    <w:qFormat/>
    <w:uiPriority w:val="0"/>
    <w:pPr>
      <w:numPr>
        <w:ilvl w:val="4"/>
      </w:numPr>
      <w:tabs>
        <w:tab w:val="left" w:pos="360"/>
        <w:tab w:val="left" w:pos="840"/>
      </w:tabs>
      <w:ind w:left="0" w:hanging="840"/>
      <w:outlineLvl w:val="4"/>
    </w:pPr>
  </w:style>
  <w:style w:type="paragraph" w:customStyle="1" w:styleId="141">
    <w:name w:val="三级条标题"/>
    <w:basedOn w:val="103"/>
    <w:next w:val="1"/>
    <w:qFormat/>
    <w:uiPriority w:val="0"/>
    <w:pPr>
      <w:numPr>
        <w:ilvl w:val="3"/>
        <w:numId w:val="1"/>
      </w:numPr>
      <w:ind w:left="0" w:hanging="840"/>
      <w:outlineLvl w:val="3"/>
    </w:pPr>
  </w:style>
  <w:style w:type="paragraph" w:customStyle="1" w:styleId="142">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43">
    <w:name w:val="样式 标题 2 + 宋体 五号 行距: 单倍行距"/>
    <w:basedOn w:val="4"/>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44">
    <w:name w:val="List Paragraph1"/>
    <w:basedOn w:val="1"/>
    <w:qFormat/>
    <w:uiPriority w:val="0"/>
    <w:pPr>
      <w:ind w:firstLine="420" w:firstLineChars="200"/>
    </w:pPr>
    <w:rPr>
      <w:rFonts w:ascii="Calibri" w:hAnsi="Calibri"/>
      <w:szCs w:val="22"/>
    </w:rPr>
  </w:style>
  <w:style w:type="paragraph" w:customStyle="1" w:styleId="145">
    <w:name w:val="项目符号1"/>
    <w:basedOn w:val="146"/>
    <w:qFormat/>
    <w:uiPriority w:val="0"/>
    <w:pPr>
      <w:ind w:left="-25" w:firstLine="0"/>
    </w:pPr>
  </w:style>
  <w:style w:type="paragraph" w:customStyle="1" w:styleId="146">
    <w:name w:val="正文文本样式"/>
    <w:basedOn w:val="1"/>
    <w:qFormat/>
    <w:uiPriority w:val="0"/>
    <w:pPr>
      <w:spacing w:line="360" w:lineRule="auto"/>
      <w:ind w:firstLine="482"/>
    </w:pPr>
    <w:rPr>
      <w:rFonts w:cs="宋体"/>
      <w:sz w:val="24"/>
      <w:szCs w:val="20"/>
    </w:rPr>
  </w:style>
  <w:style w:type="paragraph" w:customStyle="1" w:styleId="14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4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9">
    <w:name w:val="五级条标题"/>
    <w:basedOn w:val="140"/>
    <w:next w:val="1"/>
    <w:qFormat/>
    <w:uiPriority w:val="0"/>
    <w:pPr>
      <w:numPr>
        <w:ilvl w:val="5"/>
      </w:numPr>
      <w:ind w:left="0" w:hanging="840"/>
      <w:outlineLvl w:val="5"/>
    </w:pPr>
  </w:style>
  <w:style w:type="paragraph" w:customStyle="1" w:styleId="150">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51">
    <w:name w:val="文档正文"/>
    <w:basedOn w:val="1"/>
    <w:qFormat/>
    <w:uiPriority w:val="0"/>
    <w:pPr>
      <w:snapToGrid w:val="0"/>
      <w:spacing w:before="120" w:after="120" w:line="180" w:lineRule="auto"/>
    </w:pPr>
    <w:rPr>
      <w:rFonts w:ascii="Arial" w:hAnsi="Arial"/>
      <w:szCs w:val="20"/>
    </w:rPr>
  </w:style>
  <w:style w:type="paragraph" w:customStyle="1" w:styleId="152">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53">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54">
    <w:name w:val="Char Char Char1 Char"/>
    <w:basedOn w:val="1"/>
    <w:qFormat/>
    <w:uiPriority w:val="0"/>
    <w:rPr>
      <w:rFonts w:ascii="Tahoma" w:hAnsi="Tahoma"/>
      <w:sz w:val="24"/>
      <w:szCs w:val="20"/>
    </w:rPr>
  </w:style>
  <w:style w:type="paragraph" w:customStyle="1" w:styleId="155">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56">
    <w:name w:val="1名"/>
    <w:basedOn w:val="1"/>
    <w:qFormat/>
    <w:uiPriority w:val="0"/>
    <w:pPr>
      <w:numPr>
        <w:ilvl w:val="0"/>
        <w:numId w:val="5"/>
      </w:numPr>
      <w:spacing w:before="120"/>
    </w:pPr>
    <w:rPr>
      <w:rFonts w:ascii="宋体"/>
      <w:sz w:val="28"/>
      <w:szCs w:val="20"/>
    </w:rPr>
  </w:style>
  <w:style w:type="paragraph" w:customStyle="1" w:styleId="157">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58">
    <w:name w:val="Char Char Char1 Char1"/>
    <w:basedOn w:val="1"/>
    <w:qFormat/>
    <w:uiPriority w:val="0"/>
    <w:rPr>
      <w:rFonts w:ascii="Tahoma" w:hAnsi="Tahoma"/>
      <w:sz w:val="24"/>
      <w:szCs w:val="20"/>
    </w:rPr>
  </w:style>
  <w:style w:type="paragraph" w:customStyle="1" w:styleId="159">
    <w:name w:val="Char Char Char Char Char Char Char Char Char Char"/>
    <w:basedOn w:val="1"/>
    <w:qFormat/>
    <w:uiPriority w:val="0"/>
  </w:style>
  <w:style w:type="paragraph" w:customStyle="1" w:styleId="160">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61">
    <w:name w:val="Char1"/>
    <w:basedOn w:val="1"/>
    <w:qFormat/>
    <w:uiPriority w:val="0"/>
    <w:pPr>
      <w:tabs>
        <w:tab w:val="left" w:pos="360"/>
      </w:tabs>
    </w:pPr>
    <w:rPr>
      <w:sz w:val="24"/>
    </w:rPr>
  </w:style>
  <w:style w:type="paragraph" w:customStyle="1" w:styleId="162">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6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64">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65">
    <w:name w:val="默认段落字体 Para Char Char Char Char"/>
    <w:basedOn w:val="1"/>
    <w:qFormat/>
    <w:uiPriority w:val="0"/>
    <w:rPr>
      <w:rFonts w:ascii="Arial" w:hAnsi="Arial" w:cs="Arial"/>
      <w:szCs w:val="21"/>
    </w:rPr>
  </w:style>
  <w:style w:type="paragraph" w:customStyle="1" w:styleId="16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6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68">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69">
    <w:name w:val="Char Char Char"/>
    <w:basedOn w:val="1"/>
    <w:qFormat/>
    <w:uiPriority w:val="0"/>
    <w:rPr>
      <w:rFonts w:ascii="Tahoma" w:hAnsi="Tahoma"/>
      <w:sz w:val="24"/>
      <w:szCs w:val="20"/>
    </w:rPr>
  </w:style>
  <w:style w:type="paragraph" w:customStyle="1" w:styleId="170">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71">
    <w:name w:val="缺省文本"/>
    <w:basedOn w:val="1"/>
    <w:qFormat/>
    <w:uiPriority w:val="0"/>
    <w:pPr>
      <w:autoSpaceDE w:val="0"/>
      <w:autoSpaceDN w:val="0"/>
      <w:adjustRightInd w:val="0"/>
      <w:jc w:val="left"/>
    </w:pPr>
    <w:rPr>
      <w:kern w:val="0"/>
      <w:sz w:val="24"/>
    </w:rPr>
  </w:style>
  <w:style w:type="paragraph" w:customStyle="1" w:styleId="172">
    <w:name w:val="Char Char Char1"/>
    <w:basedOn w:val="1"/>
    <w:qFormat/>
    <w:uiPriority w:val="0"/>
    <w:rPr>
      <w:rFonts w:ascii="Tahoma" w:hAnsi="Tahoma"/>
      <w:sz w:val="24"/>
      <w:szCs w:val="20"/>
    </w:rPr>
  </w:style>
  <w:style w:type="paragraph" w:customStyle="1" w:styleId="173">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7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75">
    <w:name w:val="样式2"/>
    <w:basedOn w:val="39"/>
    <w:qFormat/>
    <w:uiPriority w:val="0"/>
    <w:pPr>
      <w:spacing w:line="360" w:lineRule="auto"/>
      <w:jc w:val="center"/>
    </w:pPr>
    <w:rPr>
      <w:sz w:val="24"/>
    </w:rPr>
  </w:style>
  <w:style w:type="paragraph" w:customStyle="1" w:styleId="17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7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78">
    <w:name w:val="正文 + 楷体_GB2312"/>
    <w:basedOn w:val="1"/>
    <w:qFormat/>
    <w:uiPriority w:val="0"/>
    <w:pPr>
      <w:widowControl/>
      <w:jc w:val="left"/>
    </w:pPr>
    <w:rPr>
      <w:rFonts w:ascii="楷体_GB2312" w:eastAsia="楷体_GB2312" w:cs="Arial"/>
      <w:kern w:val="0"/>
      <w:sz w:val="24"/>
    </w:rPr>
  </w:style>
  <w:style w:type="paragraph" w:customStyle="1" w:styleId="179">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80">
    <w:name w:val="1 Char Char Char Char"/>
    <w:basedOn w:val="1"/>
    <w:qFormat/>
    <w:uiPriority w:val="0"/>
    <w:rPr>
      <w:rFonts w:ascii="Tahoma" w:hAnsi="Tahoma"/>
      <w:sz w:val="24"/>
      <w:szCs w:val="20"/>
    </w:rPr>
  </w:style>
  <w:style w:type="paragraph" w:customStyle="1" w:styleId="181">
    <w:name w:val="列出段落1"/>
    <w:basedOn w:val="1"/>
    <w:qFormat/>
    <w:uiPriority w:val="0"/>
    <w:pPr>
      <w:ind w:firstLine="420" w:firstLineChars="200"/>
    </w:pPr>
    <w:rPr>
      <w:rFonts w:ascii="Calibri" w:hAnsi="Calibri"/>
      <w:szCs w:val="22"/>
    </w:rPr>
  </w:style>
  <w:style w:type="paragraph" w:customStyle="1" w:styleId="18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83">
    <w:name w:val="字元 字元1"/>
    <w:basedOn w:val="1"/>
    <w:qFormat/>
    <w:uiPriority w:val="0"/>
    <w:rPr>
      <w:rFonts w:ascii="Tahoma" w:hAnsi="Tahoma"/>
      <w:sz w:val="24"/>
      <w:szCs w:val="20"/>
    </w:rPr>
  </w:style>
  <w:style w:type="paragraph" w:customStyle="1" w:styleId="184">
    <w:name w:val="_Style 160"/>
    <w:qFormat/>
    <w:uiPriority w:val="0"/>
    <w:rPr>
      <w:rFonts w:ascii="Times New Roman" w:hAnsi="Times New Roman" w:eastAsia="宋体" w:cs="Times New Roman"/>
      <w:kern w:val="2"/>
      <w:sz w:val="21"/>
      <w:szCs w:val="24"/>
      <w:lang w:val="en-US" w:eastAsia="zh-CN" w:bidi="ar-SA"/>
    </w:rPr>
  </w:style>
  <w:style w:type="paragraph" w:customStyle="1" w:styleId="185">
    <w:name w:val="项目编号3"/>
    <w:basedOn w:val="146"/>
    <w:qFormat/>
    <w:uiPriority w:val="0"/>
    <w:pPr>
      <w:numPr>
        <w:ilvl w:val="0"/>
        <w:numId w:val="6"/>
      </w:numPr>
    </w:pPr>
  </w:style>
  <w:style w:type="paragraph" w:customStyle="1" w:styleId="186">
    <w:name w:val="Char21"/>
    <w:basedOn w:val="1"/>
    <w:qFormat/>
    <w:uiPriority w:val="0"/>
    <w:rPr>
      <w:rFonts w:ascii="Tahoma" w:hAnsi="Tahoma"/>
      <w:sz w:val="24"/>
      <w:szCs w:val="20"/>
    </w:rPr>
  </w:style>
  <w:style w:type="paragraph" w:customStyle="1" w:styleId="187">
    <w:name w:val="表格文字"/>
    <w:basedOn w:val="19"/>
    <w:qFormat/>
    <w:uiPriority w:val="0"/>
    <w:pPr>
      <w:spacing w:before="20" w:after="20" w:line="240" w:lineRule="auto"/>
      <w:ind w:firstLine="0"/>
    </w:pPr>
    <w:rPr>
      <w:rFonts w:ascii="Century Gothic" w:hAnsi="Century Gothic"/>
      <w:sz w:val="20"/>
      <w:szCs w:val="20"/>
    </w:rPr>
  </w:style>
  <w:style w:type="paragraph" w:customStyle="1" w:styleId="188">
    <w:name w:val="Char Char Char Char Char Char Char Char Char Char1"/>
    <w:basedOn w:val="1"/>
    <w:qFormat/>
    <w:uiPriority w:val="0"/>
    <w:rPr>
      <w:rFonts w:ascii="宋体" w:hAnsi="宋体" w:cs="Courier New"/>
      <w:sz w:val="32"/>
      <w:szCs w:val="32"/>
    </w:rPr>
  </w:style>
  <w:style w:type="paragraph" w:customStyle="1" w:styleId="189">
    <w:name w:val="正文文本样式 加粗"/>
    <w:basedOn w:val="146"/>
    <w:qFormat/>
    <w:uiPriority w:val="0"/>
    <w:rPr>
      <w:b/>
    </w:rPr>
  </w:style>
  <w:style w:type="paragraph" w:customStyle="1" w:styleId="190">
    <w:name w:val="Char2 Char Char Char Char Char Char"/>
    <w:basedOn w:val="1"/>
    <w:qFormat/>
    <w:uiPriority w:val="0"/>
    <w:pPr>
      <w:widowControl/>
      <w:spacing w:line="400" w:lineRule="exact"/>
      <w:jc w:val="center"/>
    </w:pPr>
  </w:style>
  <w:style w:type="paragraph" w:customStyle="1" w:styleId="191">
    <w:name w:val="Char Char4"/>
    <w:basedOn w:val="1"/>
    <w:qFormat/>
    <w:uiPriority w:val="0"/>
    <w:pPr>
      <w:widowControl/>
      <w:spacing w:line="400" w:lineRule="exact"/>
      <w:jc w:val="center"/>
    </w:pPr>
  </w:style>
  <w:style w:type="paragraph" w:customStyle="1" w:styleId="192">
    <w:name w:val="Char3 Char Char Char1"/>
    <w:basedOn w:val="1"/>
    <w:qFormat/>
    <w:uiPriority w:val="0"/>
    <w:rPr>
      <w:rFonts w:ascii="Tahoma" w:hAnsi="Tahoma"/>
      <w:sz w:val="24"/>
      <w:szCs w:val="20"/>
    </w:rPr>
  </w:style>
  <w:style w:type="paragraph" w:styleId="193">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4">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95">
    <w:name w:val="中等深浅网格 1 - 强调文字颜色 2 Char"/>
    <w:link w:val="196"/>
    <w:qFormat/>
    <w:uiPriority w:val="0"/>
    <w:rPr>
      <w:kern w:val="2"/>
      <w:sz w:val="21"/>
      <w:szCs w:val="24"/>
      <w:lang w:val="zh-CN" w:eastAsia="zh-CN" w:bidi="ar-SA"/>
    </w:rPr>
  </w:style>
  <w:style w:type="paragraph" w:customStyle="1" w:styleId="196">
    <w:name w:val="1"/>
    <w:link w:val="195"/>
    <w:qFormat/>
    <w:uiPriority w:val="0"/>
    <w:rPr>
      <w:rFonts w:ascii="Times New Roman" w:hAnsi="Times New Roman" w:eastAsia="宋体" w:cs="Times New Roman"/>
      <w:kern w:val="2"/>
      <w:sz w:val="21"/>
      <w:szCs w:val="24"/>
      <w:lang w:val="zh-CN" w:eastAsia="zh-CN" w:bidi="ar-SA"/>
    </w:rPr>
  </w:style>
  <w:style w:type="paragraph" w:customStyle="1" w:styleId="197">
    <w:name w:val="图文"/>
    <w:basedOn w:val="1"/>
    <w:qFormat/>
    <w:uiPriority w:val="0"/>
    <w:pPr>
      <w:adjustRightInd w:val="0"/>
      <w:snapToGrid w:val="0"/>
      <w:spacing w:after="50" w:line="360" w:lineRule="auto"/>
    </w:pPr>
    <w:rPr>
      <w:sz w:val="24"/>
    </w:rPr>
  </w:style>
  <w:style w:type="paragraph" w:customStyle="1" w:styleId="198">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99">
    <w:name w:val="正文表格"/>
    <w:basedOn w:val="1"/>
    <w:link w:val="200"/>
    <w:qFormat/>
    <w:uiPriority w:val="0"/>
    <w:pPr>
      <w:adjustRightInd w:val="0"/>
      <w:snapToGrid w:val="0"/>
      <w:jc w:val="left"/>
    </w:pPr>
    <w:rPr>
      <w:rFonts w:ascii="宋体" w:hAnsi="宋体"/>
      <w:color w:val="000000"/>
      <w:szCs w:val="21"/>
    </w:rPr>
  </w:style>
  <w:style w:type="character" w:customStyle="1" w:styleId="200">
    <w:name w:val="正文表格 Char"/>
    <w:link w:val="199"/>
    <w:qFormat/>
    <w:uiPriority w:val="0"/>
    <w:rPr>
      <w:rFonts w:ascii="宋体" w:hAnsi="宋体"/>
      <w:color w:val="000000"/>
      <w:kern w:val="2"/>
      <w:sz w:val="21"/>
      <w:szCs w:val="21"/>
    </w:rPr>
  </w:style>
  <w:style w:type="paragraph" w:customStyle="1" w:styleId="201">
    <w:name w:val="正文重点"/>
    <w:basedOn w:val="1"/>
    <w:link w:val="202"/>
    <w:qFormat/>
    <w:uiPriority w:val="0"/>
    <w:pPr>
      <w:adjustRightInd w:val="0"/>
      <w:spacing w:line="360" w:lineRule="auto"/>
      <w:ind w:firstLine="482" w:firstLineChars="200"/>
      <w:jc w:val="left"/>
      <w:textAlignment w:val="baseline"/>
    </w:pPr>
    <w:rPr>
      <w:b/>
      <w:kern w:val="0"/>
      <w:sz w:val="24"/>
      <w:szCs w:val="20"/>
    </w:rPr>
  </w:style>
  <w:style w:type="character" w:customStyle="1" w:styleId="202">
    <w:name w:val="正文重点 Char"/>
    <w:link w:val="201"/>
    <w:qFormat/>
    <w:uiPriority w:val="0"/>
    <w:rPr>
      <w:b/>
      <w:sz w:val="24"/>
    </w:rPr>
  </w:style>
  <w:style w:type="paragraph" w:customStyle="1" w:styleId="203">
    <w:name w:val="标题1-附件"/>
    <w:basedOn w:val="3"/>
    <w:qFormat/>
    <w:uiPriority w:val="0"/>
    <w:pPr>
      <w:jc w:val="left"/>
    </w:pPr>
    <w:rPr>
      <w:sz w:val="24"/>
      <w:szCs w:val="24"/>
    </w:rPr>
  </w:style>
  <w:style w:type="paragraph" w:customStyle="1" w:styleId="204">
    <w:name w:val="正文小标题"/>
    <w:basedOn w:val="1"/>
    <w:next w:val="13"/>
    <w:link w:val="205"/>
    <w:qFormat/>
    <w:uiPriority w:val="0"/>
    <w:pPr>
      <w:adjustRightInd w:val="0"/>
      <w:snapToGrid w:val="0"/>
      <w:spacing w:beforeLines="100" w:afterLines="100"/>
      <w:ind w:firstLine="482"/>
      <w:jc w:val="left"/>
    </w:pPr>
    <w:rPr>
      <w:rFonts w:ascii="宋体" w:hAnsi="宋体"/>
      <w:b/>
      <w:i/>
      <w:color w:val="FF0000"/>
      <w:sz w:val="24"/>
      <w:szCs w:val="20"/>
    </w:rPr>
  </w:style>
  <w:style w:type="character" w:customStyle="1" w:styleId="205">
    <w:name w:val="正文小标题 Char"/>
    <w:link w:val="204"/>
    <w:qFormat/>
    <w:uiPriority w:val="0"/>
    <w:rPr>
      <w:rFonts w:ascii="宋体" w:hAnsi="宋体"/>
      <w:b/>
      <w:i/>
      <w:color w:val="FF0000"/>
      <w:kern w:val="2"/>
      <w:sz w:val="24"/>
    </w:rPr>
  </w:style>
  <w:style w:type="paragraph" w:customStyle="1" w:styleId="206">
    <w:name w:val="正文大标题"/>
    <w:basedOn w:val="204"/>
    <w:next w:val="13"/>
    <w:link w:val="207"/>
    <w:qFormat/>
    <w:uiPriority w:val="0"/>
    <w:pPr>
      <w:jc w:val="center"/>
    </w:pPr>
    <w:rPr>
      <w:i w:val="0"/>
      <w:color w:val="000000"/>
      <w:sz w:val="28"/>
      <w:szCs w:val="21"/>
    </w:rPr>
  </w:style>
  <w:style w:type="character" w:customStyle="1" w:styleId="207">
    <w:name w:val="正文大标题 Char"/>
    <w:link w:val="206"/>
    <w:qFormat/>
    <w:uiPriority w:val="0"/>
    <w:rPr>
      <w:rFonts w:ascii="宋体" w:hAnsi="宋体"/>
      <w:b/>
      <w:color w:val="000000"/>
      <w:kern w:val="2"/>
      <w:sz w:val="28"/>
      <w:szCs w:val="21"/>
    </w:rPr>
  </w:style>
  <w:style w:type="paragraph" w:customStyle="1" w:styleId="208">
    <w:name w:val="注释"/>
    <w:basedOn w:val="1"/>
    <w:link w:val="209"/>
    <w:qFormat/>
    <w:uiPriority w:val="0"/>
    <w:pPr>
      <w:adjustRightInd w:val="0"/>
      <w:snapToGrid w:val="0"/>
      <w:ind w:left="420" w:hanging="420" w:hangingChars="200"/>
      <w:jc w:val="left"/>
    </w:pPr>
    <w:rPr>
      <w:rFonts w:ascii="宋体" w:hAnsi="宋体"/>
      <w:szCs w:val="21"/>
    </w:rPr>
  </w:style>
  <w:style w:type="character" w:customStyle="1" w:styleId="209">
    <w:name w:val="注释 Char"/>
    <w:link w:val="208"/>
    <w:qFormat/>
    <w:uiPriority w:val="0"/>
    <w:rPr>
      <w:rFonts w:ascii="宋体" w:hAnsi="宋体"/>
      <w:kern w:val="2"/>
      <w:sz w:val="21"/>
      <w:szCs w:val="21"/>
    </w:rPr>
  </w:style>
  <w:style w:type="paragraph" w:customStyle="1" w:styleId="210">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211">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212">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213">
    <w:name w:val="纯文本 字符"/>
    <w:qFormat/>
    <w:uiPriority w:val="99"/>
    <w:rPr>
      <w:rFonts w:ascii="宋体" w:hAnsi="Courier New" w:eastAsia="宋体" w:cs="Times New Roman"/>
      <w:kern w:val="2"/>
      <w:sz w:val="21"/>
      <w:szCs w:val="21"/>
      <w:lang w:val="en-US" w:eastAsia="zh-CN" w:bidi="ar-SA"/>
    </w:rPr>
  </w:style>
  <w:style w:type="paragraph" w:customStyle="1" w:styleId="214">
    <w:name w:val="表格1"/>
    <w:basedOn w:val="1"/>
    <w:qFormat/>
    <w:uiPriority w:val="0"/>
    <w:pPr>
      <w:ind w:firstLine="480" w:firstLineChars="200"/>
      <w:jc w:val="center"/>
    </w:pPr>
    <w:rPr>
      <w:sz w:val="24"/>
      <w:szCs w:val="20"/>
    </w:rPr>
  </w:style>
  <w:style w:type="character" w:customStyle="1" w:styleId="215">
    <w:name w:val="纯文本 字符1"/>
    <w:qFormat/>
    <w:uiPriority w:val="0"/>
    <w:rPr>
      <w:rFonts w:ascii="宋体" w:hAnsi="Courier New"/>
    </w:rPr>
  </w:style>
  <w:style w:type="character" w:customStyle="1" w:styleId="216">
    <w:name w:val="bjh-p"/>
    <w:qFormat/>
    <w:uiPriority w:val="0"/>
  </w:style>
  <w:style w:type="paragraph" w:customStyle="1" w:styleId="217">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18">
    <w:name w:val="正文格式 Char"/>
    <w:link w:val="219"/>
    <w:qFormat/>
    <w:locked/>
    <w:uiPriority w:val="0"/>
    <w:rPr>
      <w:rFonts w:ascii="宋体" w:hAnsi="宋体"/>
      <w:sz w:val="24"/>
      <w:szCs w:val="24"/>
      <w:lang w:val="en-GB"/>
    </w:rPr>
  </w:style>
  <w:style w:type="paragraph" w:customStyle="1" w:styleId="219">
    <w:name w:val="正文格式"/>
    <w:basedOn w:val="1"/>
    <w:link w:val="218"/>
    <w:qFormat/>
    <w:uiPriority w:val="0"/>
    <w:pPr>
      <w:spacing w:beforeLines="50" w:line="360" w:lineRule="auto"/>
      <w:ind w:firstLine="480" w:firstLineChars="200"/>
    </w:pPr>
    <w:rPr>
      <w:rFonts w:ascii="宋体" w:hAnsi="宋体"/>
      <w:kern w:val="0"/>
      <w:sz w:val="24"/>
      <w:lang w:val="en-GB"/>
    </w:rPr>
  </w:style>
  <w:style w:type="character" w:customStyle="1" w:styleId="220">
    <w:name w:val="标题 3 Char"/>
    <w:qFormat/>
    <w:uiPriority w:val="0"/>
    <w:rPr>
      <w:rFonts w:ascii="宋体" w:eastAsia="宋体"/>
      <w:b/>
      <w:sz w:val="24"/>
      <w:u w:val="single"/>
      <w:lang w:val="en-US" w:eastAsia="zh-CN" w:bidi="ar-SA"/>
    </w:rPr>
  </w:style>
  <w:style w:type="character" w:customStyle="1" w:styleId="221">
    <w:name w:val="正文缩进 Char"/>
    <w:qFormat/>
    <w:uiPriority w:val="0"/>
    <w:rPr>
      <w:rFonts w:ascii="宋体" w:eastAsia="宋体"/>
      <w:kern w:val="2"/>
      <w:sz w:val="24"/>
      <w:szCs w:val="24"/>
      <w:lang w:val="en-US" w:eastAsia="zh-CN" w:bidi="ar-SA"/>
    </w:rPr>
  </w:style>
  <w:style w:type="character" w:customStyle="1" w:styleId="222">
    <w:name w:val="Char Char111"/>
    <w:qFormat/>
    <w:uiPriority w:val="0"/>
    <w:rPr>
      <w:rFonts w:ascii="宋体" w:eastAsia="宋体"/>
      <w:b/>
      <w:sz w:val="24"/>
      <w:u w:val="single"/>
      <w:lang w:val="en-US" w:eastAsia="zh-CN" w:bidi="ar-SA"/>
    </w:rPr>
  </w:style>
  <w:style w:type="character" w:customStyle="1" w:styleId="223">
    <w:name w:val="正文文本缩进 Char"/>
    <w:qFormat/>
    <w:uiPriority w:val="0"/>
    <w:rPr>
      <w:rFonts w:eastAsia="宋体"/>
      <w:kern w:val="2"/>
      <w:sz w:val="24"/>
      <w:szCs w:val="24"/>
      <w:lang w:val="en-US" w:eastAsia="zh-CN" w:bidi="ar-SA"/>
    </w:rPr>
  </w:style>
  <w:style w:type="character" w:customStyle="1" w:styleId="224">
    <w:name w:val="列出段落 Char"/>
    <w:qFormat/>
    <w:uiPriority w:val="0"/>
    <w:rPr>
      <w:rFonts w:ascii="Calibri" w:hAnsi="Calibri" w:eastAsia="宋体"/>
      <w:kern w:val="2"/>
      <w:sz w:val="21"/>
      <w:szCs w:val="22"/>
      <w:lang w:val="en-US" w:eastAsia="zh-CN" w:bidi="ar-SA"/>
    </w:rPr>
  </w:style>
  <w:style w:type="character" w:customStyle="1" w:styleId="225">
    <w:name w:val="页眉 Char"/>
    <w:qFormat/>
    <w:uiPriority w:val="0"/>
    <w:rPr>
      <w:rFonts w:eastAsia="宋体"/>
      <w:kern w:val="2"/>
      <w:sz w:val="18"/>
      <w:szCs w:val="18"/>
      <w:lang w:val="en-US" w:eastAsia="zh-CN" w:bidi="ar-SA"/>
    </w:rPr>
  </w:style>
  <w:style w:type="character" w:customStyle="1" w:styleId="226">
    <w:name w:val="标题 2 Char"/>
    <w:qFormat/>
    <w:uiPriority w:val="0"/>
    <w:rPr>
      <w:rFonts w:ascii="Arial" w:hAnsi="Arial" w:eastAsia="黑体"/>
      <w:b/>
      <w:sz w:val="30"/>
      <w:lang w:val="en-US" w:eastAsia="zh-CN" w:bidi="ar-SA"/>
    </w:rPr>
  </w:style>
  <w:style w:type="paragraph" w:customStyle="1" w:styleId="227">
    <w:name w:val="字元 字元2"/>
    <w:basedOn w:val="1"/>
    <w:qFormat/>
    <w:uiPriority w:val="0"/>
    <w:rPr>
      <w:rFonts w:ascii="Tahoma" w:hAnsi="Tahoma"/>
      <w:sz w:val="24"/>
      <w:szCs w:val="20"/>
    </w:rPr>
  </w:style>
  <w:style w:type="paragraph" w:customStyle="1" w:styleId="228">
    <w:name w:val="Char3 Char Char Char2"/>
    <w:basedOn w:val="1"/>
    <w:qFormat/>
    <w:uiPriority w:val="0"/>
    <w:rPr>
      <w:rFonts w:ascii="Tahoma" w:hAnsi="Tahoma"/>
      <w:sz w:val="24"/>
      <w:szCs w:val="20"/>
    </w:rPr>
  </w:style>
  <w:style w:type="paragraph" w:customStyle="1" w:styleId="229">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30">
    <w:name w:val="Char3"/>
    <w:basedOn w:val="1"/>
    <w:qFormat/>
    <w:uiPriority w:val="0"/>
    <w:pPr>
      <w:tabs>
        <w:tab w:val="left" w:pos="360"/>
      </w:tabs>
    </w:pPr>
    <w:rPr>
      <w:sz w:val="24"/>
    </w:rPr>
  </w:style>
  <w:style w:type="paragraph" w:customStyle="1" w:styleId="231">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32">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3">
    <w:name w:val="列出段落2"/>
    <w:basedOn w:val="1"/>
    <w:qFormat/>
    <w:uiPriority w:val="0"/>
    <w:pPr>
      <w:ind w:firstLine="420" w:firstLineChars="200"/>
    </w:pPr>
    <w:rPr>
      <w:rFonts w:ascii="Calibri" w:hAnsi="Calibri"/>
      <w:szCs w:val="22"/>
    </w:rPr>
  </w:style>
  <w:style w:type="paragraph" w:customStyle="1" w:styleId="234">
    <w:name w:val="Char Char Char1 Char2"/>
    <w:basedOn w:val="1"/>
    <w:qFormat/>
    <w:uiPriority w:val="0"/>
    <w:rPr>
      <w:rFonts w:ascii="Tahoma" w:hAnsi="Tahoma"/>
      <w:sz w:val="24"/>
      <w:szCs w:val="20"/>
    </w:rPr>
  </w:style>
  <w:style w:type="paragraph" w:customStyle="1" w:styleId="235">
    <w:name w:val="Char Char Char2"/>
    <w:basedOn w:val="1"/>
    <w:qFormat/>
    <w:uiPriority w:val="0"/>
    <w:rPr>
      <w:rFonts w:ascii="Tahoma" w:hAnsi="Tahoma"/>
      <w:sz w:val="24"/>
      <w:szCs w:val="20"/>
    </w:rPr>
  </w:style>
  <w:style w:type="paragraph" w:customStyle="1" w:styleId="236">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37">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38">
    <w:name w:val="修订1"/>
    <w:qFormat/>
    <w:uiPriority w:val="0"/>
    <w:rPr>
      <w:rFonts w:ascii="Times New Roman" w:hAnsi="Times New Roman" w:eastAsia="宋体" w:cs="Times New Roman"/>
      <w:kern w:val="2"/>
      <w:sz w:val="21"/>
      <w:szCs w:val="24"/>
      <w:lang w:val="en-US" w:eastAsia="zh-CN" w:bidi="ar-SA"/>
    </w:rPr>
  </w:style>
  <w:style w:type="paragraph" w:customStyle="1" w:styleId="239">
    <w:name w:val="Char22"/>
    <w:basedOn w:val="1"/>
    <w:qFormat/>
    <w:uiPriority w:val="0"/>
    <w:rPr>
      <w:rFonts w:ascii="Tahoma" w:hAnsi="Tahoma"/>
      <w:sz w:val="24"/>
      <w:szCs w:val="20"/>
    </w:rPr>
  </w:style>
  <w:style w:type="paragraph" w:customStyle="1" w:styleId="240">
    <w:name w:val="Char Char Char Char Char Char Char Char Char Char2"/>
    <w:basedOn w:val="1"/>
    <w:qFormat/>
    <w:uiPriority w:val="0"/>
    <w:rPr>
      <w:rFonts w:ascii="宋体" w:hAnsi="宋体" w:cs="Courier New"/>
      <w:sz w:val="32"/>
      <w:szCs w:val="32"/>
    </w:rPr>
  </w:style>
  <w:style w:type="paragraph" w:customStyle="1" w:styleId="241">
    <w:name w:val="Char2 Char Char Char Char Char Char1"/>
    <w:basedOn w:val="1"/>
    <w:qFormat/>
    <w:uiPriority w:val="0"/>
    <w:pPr>
      <w:widowControl/>
      <w:spacing w:line="400" w:lineRule="exact"/>
      <w:jc w:val="center"/>
    </w:pPr>
  </w:style>
  <w:style w:type="character" w:customStyle="1" w:styleId="242">
    <w:name w:val="页脚 Char"/>
    <w:qFormat/>
    <w:uiPriority w:val="0"/>
    <w:rPr>
      <w:rFonts w:ascii="宋体" w:eastAsia="宋体"/>
      <w:sz w:val="18"/>
      <w:lang w:val="en-US" w:eastAsia="zh-CN" w:bidi="ar-SA"/>
    </w:rPr>
  </w:style>
  <w:style w:type="paragraph" w:customStyle="1" w:styleId="243">
    <w:name w:val="Char Char41"/>
    <w:basedOn w:val="1"/>
    <w:qFormat/>
    <w:uiPriority w:val="0"/>
    <w:pPr>
      <w:widowControl/>
      <w:spacing w:line="400" w:lineRule="exact"/>
      <w:jc w:val="center"/>
    </w:pPr>
  </w:style>
  <w:style w:type="character" w:customStyle="1" w:styleId="244">
    <w:name w:val="批注文字 Char"/>
    <w:qFormat/>
    <w:uiPriority w:val="99"/>
    <w:rPr>
      <w:kern w:val="2"/>
      <w:sz w:val="21"/>
      <w:szCs w:val="24"/>
    </w:rPr>
  </w:style>
  <w:style w:type="character" w:customStyle="1" w:styleId="245">
    <w:name w:val="标题 Char"/>
    <w:qFormat/>
    <w:uiPriority w:val="0"/>
    <w:rPr>
      <w:b/>
      <w:kern w:val="2"/>
      <w:sz w:val="32"/>
    </w:rPr>
  </w:style>
  <w:style w:type="paragraph" w:customStyle="1" w:styleId="246">
    <w:name w:val="图例"/>
    <w:basedOn w:val="1"/>
    <w:qFormat/>
    <w:uiPriority w:val="0"/>
    <w:pPr>
      <w:spacing w:before="120" w:after="120" w:line="360" w:lineRule="auto"/>
      <w:jc w:val="center"/>
    </w:pPr>
    <w:rPr>
      <w:rFonts w:eastAsia="仿宋_GB2312"/>
      <w:b/>
      <w:sz w:val="24"/>
      <w:szCs w:val="20"/>
    </w:rPr>
  </w:style>
  <w:style w:type="paragraph" w:customStyle="1" w:styleId="247">
    <w:name w:val="Table Paragraph"/>
    <w:basedOn w:val="1"/>
    <w:qFormat/>
    <w:uiPriority w:val="1"/>
    <w:pPr>
      <w:autoSpaceDE w:val="0"/>
      <w:autoSpaceDN w:val="0"/>
      <w:jc w:val="left"/>
    </w:pPr>
    <w:rPr>
      <w:rFonts w:ascii="宋体" w:hAnsi="宋体" w:cs="宋体"/>
      <w:kern w:val="0"/>
      <w:sz w:val="22"/>
      <w:szCs w:val="22"/>
      <w:lang w:eastAsia="en-US"/>
    </w:rPr>
  </w:style>
  <w:style w:type="table" w:customStyle="1" w:styleId="248">
    <w:name w:val="Table Normal"/>
    <w:semiHidden/>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49">
    <w:name w:val="成文日期"/>
    <w:basedOn w:val="1"/>
    <w:link w:val="250"/>
    <w:qFormat/>
    <w:uiPriority w:val="0"/>
    <w:pPr>
      <w:spacing w:line="570" w:lineRule="exact"/>
      <w:ind w:right="400" w:rightChars="400" w:firstLine="200" w:firstLineChars="200"/>
      <w:jc w:val="right"/>
    </w:pPr>
    <w:rPr>
      <w:rFonts w:ascii="仿宋_GB2312" w:eastAsia="仿宋_GB2312"/>
      <w:sz w:val="32"/>
      <w:szCs w:val="20"/>
    </w:rPr>
  </w:style>
  <w:style w:type="character" w:customStyle="1" w:styleId="250">
    <w:name w:val="成文日期 Char"/>
    <w:link w:val="249"/>
    <w:qFormat/>
    <w:uiPriority w:val="0"/>
    <w:rPr>
      <w:rFonts w:ascii="仿宋_GB2312" w:eastAsia="仿宋_GB2312"/>
      <w:kern w:val="2"/>
      <w:sz w:val="32"/>
    </w:rPr>
  </w:style>
  <w:style w:type="paragraph" w:customStyle="1" w:styleId="251">
    <w:name w:val="首行缩进"/>
    <w:basedOn w:val="1"/>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71</Pages>
  <Words>33045</Words>
  <Characters>34858</Characters>
  <Lines>534</Lines>
  <Paragraphs>150</Paragraphs>
  <TotalTime>10</TotalTime>
  <ScaleCrop>false</ScaleCrop>
  <LinksUpToDate>false</LinksUpToDate>
  <CharactersWithSpaces>73289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2022-09-02T08:46:00Z</dcterms:created>
  <dc:creator>Yin Hao</dc:creator>
  <cp:lastModifiedBy>周红</cp:lastModifiedBy>
  <cp:lastPrinted>2022-08-05T06:09:00Z</cp:lastPrinted>
  <dcterms:modified xsi:type="dcterms:W3CDTF">2022-10-17T06:34:12Z</dcterms:modified>
  <dc:title>02年杜范本稿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854A413FEA734A28A0321C152026CDA0</vt:lpwstr>
  </property>
</Properties>
</file>