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bCs/>
          <w:sz w:val="36"/>
          <w:szCs w:val="36"/>
          <w:lang w:val="en-US" w:eastAsia="zh-CN"/>
        </w:rPr>
      </w:pPr>
      <w:r>
        <w:rPr>
          <w:rFonts w:hint="eastAsia" w:ascii="宋体" w:hAnsi="宋体" w:cs="宋体"/>
          <w:b/>
          <w:bCs/>
          <w:sz w:val="36"/>
          <w:szCs w:val="36"/>
          <w:lang w:val="en-US" w:eastAsia="zh-CN"/>
        </w:rPr>
        <w:t>天宁区老旧小区改造（工人新村第二社区）工程社区服务中心提升改造工程</w:t>
      </w:r>
    </w:p>
    <w:p>
      <w:pPr>
        <w:jc w:val="center"/>
        <w:rPr>
          <w:rFonts w:hint="eastAsia" w:ascii="宋体" w:hAnsi="宋体" w:eastAsia="宋体" w:cs="宋体"/>
          <w:b/>
          <w:bCs/>
          <w:sz w:val="36"/>
          <w:szCs w:val="36"/>
        </w:rPr>
      </w:pPr>
      <w:r>
        <w:rPr>
          <w:rFonts w:hint="eastAsia" w:ascii="宋体" w:hAnsi="宋体" w:cs="宋体"/>
          <w:b/>
          <w:bCs/>
          <w:sz w:val="36"/>
          <w:szCs w:val="36"/>
          <w:lang w:val="en-US" w:eastAsia="zh-CN"/>
        </w:rPr>
        <w:t>清单</w:t>
      </w:r>
      <w:r>
        <w:rPr>
          <w:rFonts w:hint="eastAsia" w:ascii="宋体" w:hAnsi="宋体" w:eastAsia="宋体" w:cs="宋体"/>
          <w:b/>
          <w:bCs/>
          <w:sz w:val="36"/>
          <w:szCs w:val="36"/>
        </w:rPr>
        <w:t>编制说明</w:t>
      </w:r>
    </w:p>
    <w:p>
      <w:pPr>
        <w:numPr>
          <w:ilvl w:val="0"/>
          <w:numId w:val="1"/>
        </w:numPr>
        <w:autoSpaceDE w:val="0"/>
        <w:autoSpaceDN w:val="0"/>
        <w:adjustRightInd w:val="0"/>
        <w:spacing w:line="300" w:lineRule="auto"/>
        <w:rPr>
          <w:rFonts w:hint="eastAsia" w:ascii="宋体" w:hAnsi="宋体" w:eastAsia="宋体" w:cs="宋体"/>
          <w:b/>
          <w:bCs/>
          <w:sz w:val="30"/>
          <w:szCs w:val="30"/>
        </w:rPr>
      </w:pPr>
      <w:r>
        <w:rPr>
          <w:rFonts w:hint="eastAsia" w:ascii="宋体" w:hAnsi="宋体" w:eastAsia="宋体" w:cs="宋体"/>
          <w:b/>
          <w:bCs/>
          <w:sz w:val="30"/>
          <w:szCs w:val="30"/>
        </w:rPr>
        <w:t>工程概况</w:t>
      </w:r>
    </w:p>
    <w:p>
      <w:pPr>
        <w:autoSpaceDE w:val="0"/>
        <w:autoSpaceDN w:val="0"/>
        <w:adjustRightIn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rPr>
        <w:t>本工程位于</w:t>
      </w:r>
      <w:r>
        <w:rPr>
          <w:rFonts w:hint="eastAsia" w:ascii="宋体" w:hAnsi="宋体" w:cs="宋体"/>
          <w:sz w:val="24"/>
          <w:lang w:val="en-US" w:eastAsia="zh-CN"/>
        </w:rPr>
        <w:t>常州市兰陵街道</w:t>
      </w:r>
      <w:r>
        <w:rPr>
          <w:rFonts w:hint="eastAsia" w:ascii="宋体" w:hAnsi="宋体" w:eastAsia="宋体" w:cs="宋体"/>
          <w:sz w:val="24"/>
        </w:rPr>
        <w:t>,工程名称</w:t>
      </w:r>
      <w:r>
        <w:rPr>
          <w:rFonts w:hint="eastAsia" w:ascii="宋体" w:hAnsi="宋体" w:cs="宋体"/>
          <w:sz w:val="24"/>
          <w:lang w:val="en-US" w:eastAsia="zh-CN"/>
        </w:rPr>
        <w:t>为</w:t>
      </w:r>
      <w:r>
        <w:rPr>
          <w:rFonts w:hint="eastAsia" w:ascii="宋体" w:hAnsi="宋体" w:eastAsia="宋体" w:cs="宋体"/>
          <w:sz w:val="24"/>
        </w:rPr>
        <w:t>天宁区老旧小区改造（工人新村第二社区）工程社区服务中心提升改造工程</w:t>
      </w:r>
      <w:r>
        <w:rPr>
          <w:rFonts w:hint="eastAsia" w:ascii="宋体" w:hAnsi="宋体" w:cs="宋体"/>
          <w:sz w:val="24"/>
          <w:lang w:eastAsia="zh-CN"/>
        </w:rPr>
        <w:t>，</w:t>
      </w:r>
      <w:r>
        <w:rPr>
          <w:rFonts w:hint="eastAsia" w:ascii="宋体" w:hAnsi="宋体" w:eastAsia="宋体" w:cs="宋体"/>
          <w:sz w:val="24"/>
        </w:rPr>
        <w:t>主要工作内容为</w:t>
      </w:r>
      <w:r>
        <w:rPr>
          <w:rFonts w:hint="eastAsia" w:ascii="宋体" w:hAnsi="宋体" w:eastAsia="宋体" w:cs="宋体"/>
          <w:sz w:val="24"/>
          <w:lang w:val="en-US" w:eastAsia="zh-CN"/>
        </w:rPr>
        <w:t>部分原始墙体</w:t>
      </w:r>
      <w:r>
        <w:rPr>
          <w:rFonts w:hint="eastAsia" w:ascii="宋体" w:hAnsi="宋体" w:cs="宋体"/>
          <w:sz w:val="24"/>
          <w:lang w:val="en-US" w:eastAsia="zh-CN"/>
        </w:rPr>
        <w:t>及装饰面层</w:t>
      </w:r>
      <w:r>
        <w:rPr>
          <w:rFonts w:hint="eastAsia" w:ascii="宋体" w:hAnsi="宋体" w:eastAsia="宋体" w:cs="宋体"/>
          <w:sz w:val="24"/>
          <w:lang w:val="en-US" w:eastAsia="zh-CN"/>
        </w:rPr>
        <w:t>的拆除、新增</w:t>
      </w:r>
      <w:r>
        <w:rPr>
          <w:rFonts w:hint="eastAsia" w:ascii="宋体" w:hAnsi="宋体" w:cs="宋体"/>
          <w:sz w:val="24"/>
          <w:lang w:val="en-US" w:eastAsia="zh-CN"/>
        </w:rPr>
        <w:t>石膏板吊顶、</w:t>
      </w:r>
      <w:r>
        <w:rPr>
          <w:rFonts w:hint="eastAsia" w:ascii="宋体" w:hAnsi="宋体" w:eastAsia="宋体" w:cs="宋体"/>
          <w:sz w:val="24"/>
          <w:lang w:val="en-US" w:eastAsia="zh-CN"/>
        </w:rPr>
        <w:t>石膏板隔墙、</w:t>
      </w:r>
      <w:r>
        <w:rPr>
          <w:rFonts w:hint="eastAsia" w:ascii="宋体" w:hAnsi="宋体" w:cs="宋体"/>
          <w:sz w:val="24"/>
          <w:lang w:val="en-US" w:eastAsia="zh-CN"/>
        </w:rPr>
        <w:t>玻璃隔断、</w:t>
      </w:r>
      <w:r>
        <w:rPr>
          <w:rFonts w:hint="eastAsia" w:ascii="宋体" w:hAnsi="宋体" w:eastAsia="宋体" w:cs="宋体"/>
          <w:sz w:val="24"/>
          <w:lang w:val="en-US" w:eastAsia="zh-CN"/>
        </w:rPr>
        <w:t>地胶及墙面装饰、</w:t>
      </w:r>
      <w:r>
        <w:rPr>
          <w:rFonts w:hint="eastAsia" w:ascii="宋体" w:hAnsi="宋体" w:eastAsia="宋体" w:cs="宋体"/>
          <w:sz w:val="24"/>
          <w:highlight w:val="none"/>
          <w:lang w:val="en-US" w:eastAsia="zh-CN"/>
        </w:rPr>
        <w:t>通照明、插座、弱电</w:t>
      </w:r>
      <w:r>
        <w:rPr>
          <w:rFonts w:hint="eastAsia" w:ascii="宋体" w:hAnsi="宋体" w:cs="宋体"/>
          <w:sz w:val="24"/>
          <w:highlight w:val="none"/>
          <w:lang w:val="en-US" w:eastAsia="zh-CN"/>
        </w:rPr>
        <w:t>智能化、给排水</w:t>
      </w:r>
      <w:r>
        <w:rPr>
          <w:rFonts w:hint="eastAsia" w:ascii="宋体" w:hAnsi="宋体" w:eastAsia="宋体" w:cs="宋体"/>
          <w:sz w:val="24"/>
          <w:highlight w:val="none"/>
          <w:lang w:val="en-US" w:eastAsia="zh-CN"/>
        </w:rPr>
        <w:t>系统</w:t>
      </w:r>
      <w:r>
        <w:rPr>
          <w:rFonts w:hint="eastAsia" w:ascii="宋体" w:hAnsi="宋体" w:eastAsia="宋体" w:cs="宋体"/>
          <w:sz w:val="24"/>
          <w:highlight w:val="none"/>
        </w:rPr>
        <w:t>。</w:t>
      </w:r>
      <w:bookmarkStart w:id="0" w:name="_GoBack"/>
      <w:bookmarkEnd w:id="0"/>
    </w:p>
    <w:p>
      <w:pPr>
        <w:numPr>
          <w:ilvl w:val="0"/>
          <w:numId w:val="1"/>
        </w:numPr>
        <w:autoSpaceDE w:val="0"/>
        <w:autoSpaceDN w:val="0"/>
        <w:adjustRightInd w:val="0"/>
        <w:spacing w:line="360" w:lineRule="auto"/>
        <w:rPr>
          <w:rFonts w:hint="eastAsia" w:ascii="宋体" w:hAnsi="宋体" w:eastAsia="宋体" w:cs="宋体"/>
          <w:b/>
          <w:bCs/>
          <w:sz w:val="30"/>
          <w:szCs w:val="30"/>
        </w:rPr>
      </w:pPr>
      <w:r>
        <w:rPr>
          <w:rFonts w:hint="eastAsia" w:ascii="宋体" w:hAnsi="宋体" w:eastAsia="宋体" w:cs="宋体"/>
          <w:b/>
          <w:bCs/>
          <w:sz w:val="30"/>
          <w:szCs w:val="30"/>
        </w:rPr>
        <w:t>编制范围</w:t>
      </w:r>
    </w:p>
    <w:p>
      <w:pPr>
        <w:autoSpaceDE w:val="0"/>
        <w:autoSpaceDN w:val="0"/>
        <w:adjustRightInd w:val="0"/>
        <w:spacing w:line="360" w:lineRule="auto"/>
        <w:ind w:firstLine="480" w:firstLineChars="200"/>
        <w:rPr>
          <w:rFonts w:hint="eastAsia" w:ascii="宋体" w:hAnsi="宋体" w:eastAsia="宋体" w:cs="宋体"/>
          <w:b/>
          <w:bCs/>
          <w:sz w:val="30"/>
          <w:szCs w:val="30"/>
        </w:rPr>
      </w:pPr>
      <w:r>
        <w:rPr>
          <w:rFonts w:hint="eastAsia" w:ascii="宋体" w:hAnsi="宋体" w:eastAsia="宋体" w:cs="宋体"/>
          <w:sz w:val="24"/>
        </w:rPr>
        <w:t>设计图纸范围内的装饰装修工程。</w:t>
      </w:r>
    </w:p>
    <w:p>
      <w:pPr>
        <w:numPr>
          <w:ilvl w:val="0"/>
          <w:numId w:val="1"/>
        </w:numPr>
        <w:autoSpaceDE w:val="0"/>
        <w:autoSpaceDN w:val="0"/>
        <w:adjustRightInd w:val="0"/>
        <w:spacing w:line="360" w:lineRule="auto"/>
        <w:rPr>
          <w:rFonts w:hint="eastAsia" w:ascii="宋体" w:hAnsi="宋体" w:eastAsia="宋体" w:cs="宋体"/>
          <w:b/>
          <w:bCs/>
          <w:sz w:val="30"/>
          <w:szCs w:val="30"/>
        </w:rPr>
      </w:pPr>
      <w:r>
        <w:rPr>
          <w:rFonts w:hint="eastAsia" w:ascii="宋体" w:hAnsi="宋体" w:eastAsia="宋体" w:cs="宋体"/>
          <w:b/>
          <w:bCs/>
          <w:sz w:val="30"/>
          <w:szCs w:val="30"/>
        </w:rPr>
        <w:t>编制依据</w:t>
      </w:r>
    </w:p>
    <w:p>
      <w:pPr>
        <w:numPr>
          <w:ilvl w:val="0"/>
          <w:numId w:val="2"/>
        </w:numPr>
        <w:autoSpaceDE w:val="0"/>
        <w:autoSpaceDN w:val="0"/>
        <w:adjustRightInd w:val="0"/>
        <w:spacing w:line="360" w:lineRule="auto"/>
        <w:jc w:val="left"/>
        <w:rPr>
          <w:rFonts w:hint="eastAsia" w:ascii="宋体" w:hAnsi="宋体" w:eastAsia="宋体" w:cs="宋体"/>
          <w:sz w:val="24"/>
        </w:rPr>
      </w:pPr>
      <w:r>
        <w:rPr>
          <w:rFonts w:hint="eastAsia" w:ascii="宋体" w:hAnsi="宋体" w:eastAsia="宋体" w:cs="宋体"/>
          <w:sz w:val="24"/>
        </w:rPr>
        <w:t>《建设工程工程量清单计价规范》GB50500-2013;</w:t>
      </w:r>
    </w:p>
    <w:p>
      <w:pPr>
        <w:numPr>
          <w:ilvl w:val="0"/>
          <w:numId w:val="2"/>
        </w:numPr>
        <w:autoSpaceDE w:val="0"/>
        <w:autoSpaceDN w:val="0"/>
        <w:adjustRightInd w:val="0"/>
        <w:spacing w:line="360" w:lineRule="auto"/>
        <w:jc w:val="left"/>
        <w:rPr>
          <w:rFonts w:hint="eastAsia" w:ascii="宋体" w:hAnsi="宋体" w:eastAsia="宋体" w:cs="宋体"/>
          <w:sz w:val="24"/>
        </w:rPr>
      </w:pPr>
      <w:r>
        <w:rPr>
          <w:rFonts w:hint="eastAsia" w:ascii="宋体" w:hAnsi="宋体" w:eastAsia="宋体" w:cs="宋体"/>
          <w:sz w:val="24"/>
        </w:rPr>
        <w:t>《房屋建筑与装饰工程工程量计算规范》GB50854-2013;</w:t>
      </w:r>
    </w:p>
    <w:p>
      <w:pPr>
        <w:numPr>
          <w:ilvl w:val="0"/>
          <w:numId w:val="2"/>
        </w:numPr>
        <w:autoSpaceDE w:val="0"/>
        <w:autoSpaceDN w:val="0"/>
        <w:adjustRightInd w:val="0"/>
        <w:spacing w:line="500" w:lineRule="exact"/>
        <w:jc w:val="left"/>
        <w:rPr>
          <w:rFonts w:hint="eastAsia" w:ascii="宋体" w:hAnsi="宋体" w:eastAsia="宋体" w:cs="宋体"/>
          <w:sz w:val="24"/>
        </w:rPr>
      </w:pPr>
      <w:r>
        <w:rPr>
          <w:rFonts w:hint="eastAsia" w:ascii="宋体" w:hAnsi="宋体" w:eastAsia="宋体" w:cs="宋体"/>
          <w:sz w:val="24"/>
        </w:rPr>
        <w:t>《通用安装工程工程量计算规范》GB50856-2013;</w:t>
      </w:r>
    </w:p>
    <w:p>
      <w:pPr>
        <w:numPr>
          <w:ilvl w:val="0"/>
          <w:numId w:val="2"/>
        </w:numPr>
        <w:autoSpaceDE w:val="0"/>
        <w:autoSpaceDN w:val="0"/>
        <w:adjustRightInd w:val="0"/>
        <w:spacing w:line="360" w:lineRule="auto"/>
        <w:jc w:val="left"/>
        <w:rPr>
          <w:rFonts w:hint="eastAsia" w:ascii="宋体" w:hAnsi="宋体" w:eastAsia="宋体" w:cs="宋体"/>
          <w:sz w:val="24"/>
        </w:rPr>
      </w:pPr>
      <w:r>
        <w:rPr>
          <w:rFonts w:hint="eastAsia" w:ascii="宋体" w:hAnsi="宋体" w:eastAsia="宋体" w:cs="宋体"/>
          <w:sz w:val="24"/>
        </w:rPr>
        <w:t>2014版《江苏省建筑与装饰工程计价定额》、《江苏省安装工程计价定额》及2014年《江苏省建设工程费用定额》;</w:t>
      </w:r>
    </w:p>
    <w:p>
      <w:pPr>
        <w:numPr>
          <w:ilvl w:val="0"/>
          <w:numId w:val="2"/>
        </w:numPr>
        <w:autoSpaceDE w:val="0"/>
        <w:autoSpaceDN w:val="0"/>
        <w:adjustRightInd w:val="0"/>
        <w:spacing w:line="360" w:lineRule="auto"/>
        <w:jc w:val="left"/>
        <w:rPr>
          <w:rFonts w:hint="eastAsia" w:ascii="宋体" w:hAnsi="宋体" w:eastAsia="宋体" w:cs="宋体"/>
          <w:sz w:val="24"/>
        </w:rPr>
      </w:pPr>
      <w:r>
        <w:rPr>
          <w:rFonts w:hint="eastAsia" w:ascii="宋体" w:hAnsi="宋体" w:eastAsia="宋体" w:cs="宋体"/>
          <w:sz w:val="24"/>
        </w:rPr>
        <w:t>人工费执行苏建函价（20</w:t>
      </w:r>
      <w:r>
        <w:rPr>
          <w:rFonts w:hint="eastAsia" w:ascii="宋体" w:hAnsi="宋体" w:eastAsia="宋体" w:cs="宋体"/>
          <w:sz w:val="24"/>
          <w:lang w:val="en-US" w:eastAsia="zh-CN"/>
        </w:rPr>
        <w:t>2</w:t>
      </w:r>
      <w:r>
        <w:rPr>
          <w:rFonts w:hint="eastAsia" w:ascii="宋体" w:hAnsi="宋体" w:cs="宋体"/>
          <w:sz w:val="24"/>
          <w:lang w:val="en-US" w:eastAsia="zh-CN"/>
        </w:rPr>
        <w:t>3</w:t>
      </w:r>
      <w:r>
        <w:rPr>
          <w:rFonts w:hint="eastAsia" w:ascii="宋体" w:hAnsi="宋体" w:eastAsia="宋体" w:cs="宋体"/>
          <w:sz w:val="24"/>
        </w:rPr>
        <w:t>）</w:t>
      </w:r>
      <w:r>
        <w:rPr>
          <w:rFonts w:hint="eastAsia" w:ascii="宋体" w:hAnsi="宋体" w:eastAsia="宋体" w:cs="宋体"/>
          <w:sz w:val="24"/>
          <w:lang w:val="en-US" w:eastAsia="zh-CN"/>
        </w:rPr>
        <w:t>6</w:t>
      </w:r>
      <w:r>
        <w:rPr>
          <w:rFonts w:hint="eastAsia" w:ascii="宋体" w:hAnsi="宋体" w:cs="宋体"/>
          <w:sz w:val="24"/>
          <w:lang w:val="en-US" w:eastAsia="zh-CN"/>
        </w:rPr>
        <w:t>3</w:t>
      </w:r>
      <w:r>
        <w:rPr>
          <w:rFonts w:hint="eastAsia" w:ascii="宋体" w:hAnsi="宋体" w:eastAsia="宋体" w:cs="宋体"/>
          <w:sz w:val="24"/>
        </w:rPr>
        <w:t>号《省住房城乡建设厅关于发布建设工程人工工资指导价的通知》;</w:t>
      </w:r>
    </w:p>
    <w:p>
      <w:pPr>
        <w:numPr>
          <w:ilvl w:val="0"/>
          <w:numId w:val="2"/>
        </w:numPr>
        <w:autoSpaceDE w:val="0"/>
        <w:autoSpaceDN w:val="0"/>
        <w:adjustRightInd w:val="0"/>
        <w:spacing w:line="360" w:lineRule="auto"/>
        <w:jc w:val="left"/>
        <w:rPr>
          <w:rFonts w:hint="eastAsia" w:ascii="宋体" w:hAnsi="宋体" w:eastAsia="宋体" w:cs="宋体"/>
          <w:sz w:val="24"/>
        </w:rPr>
      </w:pPr>
      <w:r>
        <w:rPr>
          <w:rFonts w:hint="eastAsia" w:ascii="宋体" w:hAnsi="宋体" w:eastAsia="宋体" w:cs="宋体"/>
          <w:sz w:val="24"/>
        </w:rPr>
        <w:t>税费执行苏建</w:t>
      </w:r>
      <w:r>
        <w:rPr>
          <w:rFonts w:hint="eastAsia" w:ascii="宋体" w:hAnsi="宋体" w:eastAsia="宋体" w:cs="宋体"/>
          <w:sz w:val="24"/>
          <w:lang w:val="en-US" w:eastAsia="zh-CN"/>
        </w:rPr>
        <w:t>函</w:t>
      </w:r>
      <w:r>
        <w:rPr>
          <w:rFonts w:hint="eastAsia" w:ascii="宋体" w:hAnsi="宋体" w:eastAsia="宋体" w:cs="宋体"/>
          <w:sz w:val="24"/>
        </w:rPr>
        <w:t>价（201</w:t>
      </w:r>
      <w:r>
        <w:rPr>
          <w:rFonts w:hint="eastAsia" w:ascii="宋体" w:hAnsi="宋体" w:eastAsia="宋体" w:cs="宋体"/>
          <w:sz w:val="24"/>
          <w:lang w:val="en-US" w:eastAsia="zh-CN"/>
        </w:rPr>
        <w:t>9</w:t>
      </w:r>
      <w:r>
        <w:rPr>
          <w:rFonts w:hint="eastAsia" w:ascii="宋体" w:hAnsi="宋体" w:eastAsia="宋体" w:cs="宋体"/>
          <w:sz w:val="24"/>
        </w:rPr>
        <w:t>）</w:t>
      </w:r>
      <w:r>
        <w:rPr>
          <w:rFonts w:hint="eastAsia" w:ascii="宋体" w:hAnsi="宋体" w:eastAsia="宋体" w:cs="宋体"/>
          <w:sz w:val="24"/>
          <w:lang w:val="en-US" w:eastAsia="zh-CN"/>
        </w:rPr>
        <w:t>178</w:t>
      </w:r>
      <w:r>
        <w:rPr>
          <w:rFonts w:hint="eastAsia" w:ascii="宋体" w:hAnsi="宋体" w:eastAsia="宋体" w:cs="宋体"/>
          <w:sz w:val="24"/>
        </w:rPr>
        <w:t>号《省住房城乡建设厅关于建筑业</w:t>
      </w:r>
      <w:r>
        <w:rPr>
          <w:rFonts w:hint="eastAsia" w:ascii="宋体" w:hAnsi="宋体" w:eastAsia="宋体" w:cs="宋体"/>
          <w:sz w:val="24"/>
          <w:lang w:val="en-US" w:eastAsia="zh-CN"/>
        </w:rPr>
        <w:t>增值税计价政策调整的通知</w:t>
      </w:r>
      <w:r>
        <w:rPr>
          <w:rFonts w:hint="eastAsia" w:ascii="宋体" w:hAnsi="宋体" w:eastAsia="宋体" w:cs="宋体"/>
          <w:sz w:val="24"/>
        </w:rPr>
        <w:t>》，根据文件要求，本清单按一般计税方法编制</w:t>
      </w:r>
    </w:p>
    <w:p>
      <w:pPr>
        <w:numPr>
          <w:ilvl w:val="0"/>
          <w:numId w:val="2"/>
        </w:numPr>
        <w:autoSpaceDE w:val="0"/>
        <w:autoSpaceDN w:val="0"/>
        <w:adjustRightInd w:val="0"/>
        <w:spacing w:line="360" w:lineRule="auto"/>
        <w:jc w:val="left"/>
        <w:rPr>
          <w:rFonts w:hint="eastAsia" w:ascii="宋体" w:hAnsi="宋体" w:eastAsia="宋体" w:cs="宋体"/>
          <w:sz w:val="24"/>
        </w:rPr>
      </w:pPr>
      <w:r>
        <w:rPr>
          <w:rFonts w:hint="eastAsia" w:ascii="宋体" w:hAnsi="宋体" w:eastAsia="宋体" w:cs="宋体"/>
          <w:sz w:val="24"/>
        </w:rPr>
        <w:t>常建（2014）279号关于贯彻《建设工程工程量清单计价规范》（GB50500-2013)等国家标准和省2014年建筑与装饰、安装、市政等专业工程计价定额及费用定额的通知;</w:t>
      </w:r>
    </w:p>
    <w:p>
      <w:pPr>
        <w:numPr>
          <w:ilvl w:val="0"/>
          <w:numId w:val="2"/>
        </w:numPr>
        <w:autoSpaceDE w:val="0"/>
        <w:autoSpaceDN w:val="0"/>
        <w:adjustRightInd w:val="0"/>
        <w:spacing w:line="360" w:lineRule="auto"/>
        <w:jc w:val="left"/>
        <w:rPr>
          <w:rFonts w:hint="eastAsia" w:ascii="宋体" w:hAnsi="宋体" w:eastAsia="宋体" w:cs="宋体"/>
          <w:sz w:val="24"/>
        </w:rPr>
      </w:pPr>
      <w:r>
        <w:rPr>
          <w:rFonts w:hint="eastAsia" w:ascii="宋体" w:hAnsi="宋体" w:eastAsia="宋体" w:cs="宋体"/>
          <w:sz w:val="24"/>
        </w:rPr>
        <w:t>常建（2016）94号关于转发《省住房城乡建设厅关于建筑业实施营改增后江苏省建设工程计价依据调整的通知》的通知;</w:t>
      </w:r>
    </w:p>
    <w:p>
      <w:pPr>
        <w:numPr>
          <w:ilvl w:val="0"/>
          <w:numId w:val="2"/>
        </w:numPr>
        <w:autoSpaceDE w:val="0"/>
        <w:autoSpaceDN w:val="0"/>
        <w:adjustRightInd w:val="0"/>
        <w:spacing w:line="360" w:lineRule="auto"/>
        <w:jc w:val="left"/>
        <w:rPr>
          <w:rFonts w:hint="eastAsia" w:ascii="宋体" w:hAnsi="宋体" w:eastAsia="宋体" w:cs="宋体"/>
          <w:sz w:val="24"/>
        </w:rPr>
      </w:pPr>
      <w:r>
        <w:rPr>
          <w:rFonts w:hint="eastAsia" w:ascii="宋体" w:hAnsi="宋体" w:eastAsia="宋体" w:cs="宋体"/>
          <w:sz w:val="24"/>
        </w:rPr>
        <w:t>设计施工图;</w:t>
      </w:r>
    </w:p>
    <w:p>
      <w:pPr>
        <w:numPr>
          <w:ilvl w:val="0"/>
          <w:numId w:val="2"/>
        </w:numPr>
        <w:autoSpaceDE w:val="0"/>
        <w:autoSpaceDN w:val="0"/>
        <w:adjustRightInd w:val="0"/>
        <w:spacing w:line="360" w:lineRule="auto"/>
        <w:jc w:val="left"/>
        <w:rPr>
          <w:rFonts w:hint="eastAsia" w:ascii="宋体" w:hAnsi="宋体" w:eastAsia="宋体" w:cs="宋体"/>
          <w:sz w:val="24"/>
        </w:rPr>
      </w:pPr>
      <w:r>
        <w:rPr>
          <w:rFonts w:hint="eastAsia" w:ascii="宋体" w:hAnsi="宋体" w:eastAsia="宋体" w:cs="宋体"/>
          <w:sz w:val="24"/>
        </w:rPr>
        <w:t>工程材料价格按常州市工程造价信息20</w:t>
      </w:r>
      <w:r>
        <w:rPr>
          <w:rFonts w:hint="eastAsia" w:ascii="宋体" w:hAnsi="宋体" w:eastAsia="宋体" w:cs="宋体"/>
          <w:sz w:val="24"/>
          <w:lang w:val="en-US" w:eastAsia="zh-CN"/>
        </w:rPr>
        <w:t>2</w:t>
      </w:r>
      <w:r>
        <w:rPr>
          <w:rFonts w:hint="eastAsia" w:ascii="宋体" w:hAnsi="宋体" w:cs="宋体"/>
          <w:sz w:val="24"/>
          <w:lang w:val="en-US" w:eastAsia="zh-CN"/>
        </w:rPr>
        <w:t>3</w:t>
      </w:r>
      <w:r>
        <w:rPr>
          <w:rFonts w:hint="eastAsia" w:ascii="宋体" w:hAnsi="宋体" w:eastAsia="宋体" w:cs="宋体"/>
          <w:sz w:val="24"/>
        </w:rPr>
        <w:t>年</w:t>
      </w:r>
      <w:r>
        <w:rPr>
          <w:rFonts w:hint="eastAsia" w:ascii="宋体" w:hAnsi="宋体" w:cs="宋体"/>
          <w:sz w:val="24"/>
          <w:lang w:val="en-US" w:eastAsia="zh-CN"/>
        </w:rPr>
        <w:t>2</w:t>
      </w:r>
      <w:r>
        <w:rPr>
          <w:rFonts w:hint="eastAsia" w:ascii="宋体" w:hAnsi="宋体" w:eastAsia="宋体" w:cs="宋体"/>
          <w:sz w:val="24"/>
        </w:rPr>
        <w:t>月份信息价计入，未有的逐月前推，清单材料表中所列材料单价均为除税单价。</w:t>
      </w:r>
    </w:p>
    <w:p>
      <w:pPr>
        <w:numPr>
          <w:ilvl w:val="0"/>
          <w:numId w:val="3"/>
        </w:numPr>
        <w:autoSpaceDE w:val="0"/>
        <w:autoSpaceDN w:val="0"/>
        <w:adjustRightInd w:val="0"/>
        <w:spacing w:line="360" w:lineRule="auto"/>
        <w:jc w:val="left"/>
        <w:rPr>
          <w:rFonts w:hint="eastAsia" w:ascii="宋体" w:hAnsi="宋体" w:eastAsia="宋体" w:cs="宋体"/>
          <w:b/>
          <w:sz w:val="30"/>
          <w:szCs w:val="30"/>
        </w:rPr>
      </w:pPr>
      <w:r>
        <w:rPr>
          <w:rFonts w:hint="eastAsia" w:ascii="宋体" w:hAnsi="宋体" w:eastAsia="宋体" w:cs="宋体"/>
          <w:b/>
          <w:sz w:val="30"/>
          <w:szCs w:val="30"/>
        </w:rPr>
        <w:t>编制说明</w:t>
      </w:r>
    </w:p>
    <w:p>
      <w:pPr>
        <w:autoSpaceDE w:val="0"/>
        <w:autoSpaceDN w:val="0"/>
        <w:adjustRightInd w:val="0"/>
        <w:spacing w:line="360" w:lineRule="auto"/>
        <w:ind w:firstLine="562" w:firstLineChars="200"/>
        <w:jc w:val="left"/>
        <w:rPr>
          <w:rFonts w:hint="eastAsia" w:ascii="宋体" w:hAnsi="宋体" w:eastAsia="宋体" w:cs="宋体"/>
          <w:b/>
          <w:bCs w:val="0"/>
          <w:sz w:val="28"/>
          <w:szCs w:val="28"/>
        </w:rPr>
      </w:pPr>
      <w:r>
        <w:rPr>
          <w:rFonts w:hint="eastAsia" w:ascii="宋体" w:hAnsi="宋体" w:eastAsia="宋体" w:cs="宋体"/>
          <w:b/>
          <w:bCs w:val="0"/>
          <w:sz w:val="28"/>
          <w:szCs w:val="28"/>
        </w:rPr>
        <w:t>装饰工程</w:t>
      </w:r>
    </w:p>
    <w:p>
      <w:pPr>
        <w:numPr>
          <w:ilvl w:val="0"/>
          <w:numId w:val="4"/>
        </w:numPr>
        <w:spacing w:line="360" w:lineRule="auto"/>
        <w:rPr>
          <w:rFonts w:ascii="宋体" w:hAnsi="宋体" w:cs="宋体"/>
          <w:bCs/>
          <w:sz w:val="24"/>
        </w:rPr>
      </w:pPr>
      <w:r>
        <w:rPr>
          <w:rFonts w:hint="eastAsia" w:ascii="宋体" w:hAnsi="宋体" w:cs="宋体"/>
          <w:bCs/>
          <w:sz w:val="24"/>
        </w:rPr>
        <w:t>石膏板隔墙清单工程量按照吊顶底的单面石膏板垂直投影面积计算;轻钢龙骨等量由投标单位自行考虑；</w:t>
      </w:r>
    </w:p>
    <w:p>
      <w:pPr>
        <w:numPr>
          <w:ilvl w:val="0"/>
          <w:numId w:val="4"/>
        </w:numPr>
        <w:spacing w:line="360" w:lineRule="auto"/>
        <w:ind w:left="485" w:hanging="484" w:hangingChars="202"/>
        <w:rPr>
          <w:rFonts w:ascii="宋体" w:hAnsi="宋体" w:cs="宋体"/>
          <w:bCs/>
          <w:sz w:val="24"/>
        </w:rPr>
      </w:pPr>
      <w:r>
        <w:rPr>
          <w:rFonts w:hint="eastAsia" w:ascii="宋体" w:hAnsi="宋体" w:cs="宋体"/>
          <w:bCs/>
          <w:sz w:val="24"/>
        </w:rPr>
        <w:t>不锈钢：国产优质304不锈钢；</w:t>
      </w:r>
    </w:p>
    <w:p>
      <w:pPr>
        <w:numPr>
          <w:ilvl w:val="0"/>
          <w:numId w:val="4"/>
        </w:numPr>
        <w:spacing w:line="360" w:lineRule="auto"/>
        <w:ind w:left="485" w:hanging="484" w:hangingChars="202"/>
        <w:rPr>
          <w:rFonts w:ascii="宋体" w:hAnsi="宋体" w:cs="宋体"/>
          <w:bCs/>
          <w:sz w:val="24"/>
        </w:rPr>
      </w:pPr>
      <w:r>
        <w:rPr>
          <w:rFonts w:hint="eastAsia" w:ascii="宋体" w:hAnsi="宋体" w:cs="宋体"/>
          <w:bCs/>
          <w:sz w:val="24"/>
        </w:rPr>
        <w:t>所有角钢、型钢均为热镀锌钢材；</w:t>
      </w:r>
    </w:p>
    <w:p>
      <w:pPr>
        <w:numPr>
          <w:ilvl w:val="0"/>
          <w:numId w:val="4"/>
        </w:numPr>
        <w:spacing w:line="360" w:lineRule="auto"/>
        <w:ind w:left="485" w:hanging="484" w:hangingChars="202"/>
        <w:rPr>
          <w:rFonts w:ascii="宋体" w:hAnsi="宋体" w:cs="宋体"/>
          <w:bCs/>
          <w:sz w:val="24"/>
        </w:rPr>
      </w:pPr>
      <w:r>
        <w:rPr>
          <w:rFonts w:hint="eastAsia" w:ascii="宋体" w:hAnsi="宋体" w:cs="宋体"/>
          <w:bCs/>
          <w:sz w:val="24"/>
        </w:rPr>
        <w:t>所有板材环保标准不低于E0级；</w:t>
      </w:r>
    </w:p>
    <w:p>
      <w:pPr>
        <w:numPr>
          <w:ilvl w:val="0"/>
          <w:numId w:val="4"/>
        </w:numPr>
        <w:spacing w:line="360" w:lineRule="auto"/>
        <w:ind w:left="485" w:hanging="484" w:hangingChars="202"/>
        <w:rPr>
          <w:rFonts w:ascii="宋体" w:hAnsi="宋体" w:cs="宋体"/>
          <w:bCs/>
          <w:sz w:val="24"/>
        </w:rPr>
      </w:pPr>
      <w:r>
        <w:rPr>
          <w:rFonts w:hint="eastAsia" w:ascii="宋体" w:hAnsi="宋体" w:cs="宋体"/>
          <w:bCs/>
          <w:sz w:val="24"/>
        </w:rPr>
        <w:t>本工程拆除项目按项包干，施工单位根据自身情况综合考虑报价，结算时此价格不作调整；</w:t>
      </w:r>
    </w:p>
    <w:p>
      <w:pPr>
        <w:numPr>
          <w:ilvl w:val="0"/>
          <w:numId w:val="4"/>
        </w:numPr>
        <w:spacing w:line="360" w:lineRule="auto"/>
        <w:ind w:left="485" w:hanging="484" w:hangingChars="202"/>
        <w:rPr>
          <w:rFonts w:ascii="宋体" w:hAnsi="宋体" w:cs="宋体"/>
          <w:bCs/>
          <w:sz w:val="24"/>
        </w:rPr>
      </w:pPr>
      <w:r>
        <w:rPr>
          <w:rFonts w:hint="eastAsia" w:ascii="宋体" w:hAnsi="宋体" w:cs="宋体"/>
          <w:bCs/>
          <w:sz w:val="24"/>
        </w:rPr>
        <w:t>投标价含精保洁费用，施工单位根据自身情况综合考虑报价，结算时不另外增加费用；</w:t>
      </w:r>
    </w:p>
    <w:p>
      <w:pPr>
        <w:numPr>
          <w:ilvl w:val="0"/>
          <w:numId w:val="4"/>
        </w:numPr>
        <w:spacing w:line="360" w:lineRule="auto"/>
        <w:ind w:left="485" w:hanging="484" w:hangingChars="202"/>
        <w:rPr>
          <w:rFonts w:ascii="宋体" w:hAnsi="宋体" w:cs="宋体"/>
          <w:bCs/>
          <w:sz w:val="24"/>
        </w:rPr>
      </w:pPr>
      <w:r>
        <w:rPr>
          <w:rFonts w:hint="eastAsia" w:ascii="宋体" w:hAnsi="宋体" w:cs="宋体"/>
          <w:bCs/>
          <w:sz w:val="24"/>
        </w:rPr>
        <w:t>本工程所有有关颜色的材料，施工前需要经过甲方选样确认；</w:t>
      </w:r>
    </w:p>
    <w:p>
      <w:pPr>
        <w:numPr>
          <w:ilvl w:val="0"/>
          <w:numId w:val="4"/>
        </w:numPr>
        <w:spacing w:line="360" w:lineRule="auto"/>
        <w:ind w:left="485" w:hanging="484" w:hangingChars="202"/>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建设单位推荐的主要材料推荐品牌一览表</w:t>
      </w:r>
    </w:p>
    <w:tbl>
      <w:tblPr>
        <w:tblStyle w:val="4"/>
        <w:tblW w:w="8141" w:type="dxa"/>
        <w:jc w:val="center"/>
        <w:tblLayout w:type="fixed"/>
        <w:tblCellMar>
          <w:top w:w="0" w:type="dxa"/>
          <w:left w:w="108" w:type="dxa"/>
          <w:bottom w:w="0" w:type="dxa"/>
          <w:right w:w="108" w:type="dxa"/>
        </w:tblCellMar>
      </w:tblPr>
      <w:tblGrid>
        <w:gridCol w:w="736"/>
        <w:gridCol w:w="3331"/>
        <w:gridCol w:w="4074"/>
      </w:tblGrid>
      <w:tr>
        <w:tblPrEx>
          <w:tblCellMar>
            <w:top w:w="0" w:type="dxa"/>
            <w:left w:w="108" w:type="dxa"/>
            <w:bottom w:w="0" w:type="dxa"/>
            <w:right w:w="108" w:type="dxa"/>
          </w:tblCellMar>
        </w:tblPrEx>
        <w:trPr>
          <w:trHeight w:val="45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序号</w:t>
            </w:r>
          </w:p>
        </w:tc>
        <w:tc>
          <w:tcPr>
            <w:tcW w:w="3331" w:type="dxa"/>
            <w:tcBorders>
              <w:top w:val="single" w:color="auto" w:sz="4" w:space="0"/>
              <w:left w:val="nil"/>
              <w:bottom w:val="single" w:color="auto" w:sz="4" w:space="0"/>
              <w:right w:val="single" w:color="000000" w:sz="4" w:space="0"/>
            </w:tcBorders>
            <w:vAlign w:val="center"/>
          </w:tcPr>
          <w:p>
            <w:pPr>
              <w:spacing w:line="360" w:lineRule="auto"/>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材料名称</w:t>
            </w:r>
          </w:p>
        </w:tc>
        <w:tc>
          <w:tcPr>
            <w:tcW w:w="4074" w:type="dxa"/>
            <w:tcBorders>
              <w:top w:val="single" w:color="auto" w:sz="4" w:space="0"/>
              <w:left w:val="nil"/>
              <w:bottom w:val="single" w:color="auto" w:sz="4" w:space="0"/>
              <w:right w:val="single" w:color="000000" w:sz="4" w:space="0"/>
            </w:tcBorders>
            <w:vAlign w:val="center"/>
          </w:tcPr>
          <w:p>
            <w:pPr>
              <w:spacing w:line="360" w:lineRule="auto"/>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推荐品牌</w:t>
            </w:r>
          </w:p>
        </w:tc>
      </w:tr>
      <w:tr>
        <w:tblPrEx>
          <w:tblCellMar>
            <w:top w:w="0" w:type="dxa"/>
            <w:left w:w="108" w:type="dxa"/>
            <w:bottom w:w="0" w:type="dxa"/>
            <w:right w:w="108" w:type="dxa"/>
          </w:tblCellMar>
        </w:tblPrEx>
        <w:trPr>
          <w:trHeight w:val="225" w:hRule="atLeast"/>
          <w:jc w:val="center"/>
        </w:trPr>
        <w:tc>
          <w:tcPr>
            <w:tcW w:w="736" w:type="dxa"/>
            <w:tcBorders>
              <w:top w:val="nil"/>
              <w:left w:val="single" w:color="auto" w:sz="4" w:space="0"/>
              <w:bottom w:val="single" w:color="auto" w:sz="4" w:space="0"/>
              <w:right w:val="single" w:color="auto" w:sz="4" w:space="0"/>
            </w:tcBorders>
            <w:vAlign w:val="center"/>
          </w:tcPr>
          <w:p>
            <w:pPr>
              <w:spacing w:line="360" w:lineRule="auto"/>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1</w:t>
            </w:r>
          </w:p>
        </w:tc>
        <w:tc>
          <w:tcPr>
            <w:tcW w:w="3331" w:type="dxa"/>
            <w:tcBorders>
              <w:top w:val="single" w:color="auto" w:sz="4" w:space="0"/>
              <w:left w:val="nil"/>
              <w:bottom w:val="single" w:color="auto" w:sz="4" w:space="0"/>
              <w:right w:val="single" w:color="000000" w:sz="4" w:space="0"/>
            </w:tcBorders>
            <w:vAlign w:val="center"/>
          </w:tcPr>
          <w:p>
            <w:pPr>
              <w:spacing w:line="360" w:lineRule="auto"/>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细木工板、实木多层、阻燃板</w:t>
            </w:r>
          </w:p>
        </w:tc>
        <w:tc>
          <w:tcPr>
            <w:tcW w:w="4074" w:type="dxa"/>
            <w:tcBorders>
              <w:top w:val="single" w:color="auto" w:sz="4" w:space="0"/>
              <w:left w:val="nil"/>
              <w:bottom w:val="single" w:color="auto" w:sz="4" w:space="0"/>
              <w:right w:val="single" w:color="000000" w:sz="4" w:space="0"/>
            </w:tcBorders>
            <w:vAlign w:val="center"/>
          </w:tcPr>
          <w:p>
            <w:pPr>
              <w:spacing w:line="360" w:lineRule="auto"/>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兔宝宝、福庆、莫干山</w:t>
            </w:r>
          </w:p>
        </w:tc>
      </w:tr>
      <w:tr>
        <w:tblPrEx>
          <w:tblCellMar>
            <w:top w:w="0" w:type="dxa"/>
            <w:left w:w="108" w:type="dxa"/>
            <w:bottom w:w="0" w:type="dxa"/>
            <w:right w:w="108" w:type="dxa"/>
          </w:tblCellMar>
        </w:tblPrEx>
        <w:trPr>
          <w:trHeight w:val="225" w:hRule="atLeast"/>
          <w:jc w:val="center"/>
        </w:trPr>
        <w:tc>
          <w:tcPr>
            <w:tcW w:w="736" w:type="dxa"/>
            <w:tcBorders>
              <w:top w:val="nil"/>
              <w:left w:val="single" w:color="auto" w:sz="4" w:space="0"/>
              <w:bottom w:val="single" w:color="auto" w:sz="4" w:space="0"/>
              <w:right w:val="single" w:color="auto" w:sz="4" w:space="0"/>
            </w:tcBorders>
            <w:vAlign w:val="center"/>
          </w:tcPr>
          <w:p>
            <w:pPr>
              <w:spacing w:line="360" w:lineRule="auto"/>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2</w:t>
            </w:r>
          </w:p>
        </w:tc>
        <w:tc>
          <w:tcPr>
            <w:tcW w:w="3331" w:type="dxa"/>
            <w:tcBorders>
              <w:top w:val="single" w:color="auto" w:sz="4" w:space="0"/>
              <w:left w:val="nil"/>
              <w:bottom w:val="single" w:color="auto" w:sz="4" w:space="0"/>
              <w:right w:val="single" w:color="000000" w:sz="4" w:space="0"/>
            </w:tcBorders>
            <w:vAlign w:val="center"/>
          </w:tcPr>
          <w:p>
            <w:pPr>
              <w:spacing w:line="360" w:lineRule="auto"/>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纸面石膏板</w:t>
            </w:r>
          </w:p>
        </w:tc>
        <w:tc>
          <w:tcPr>
            <w:tcW w:w="4074" w:type="dxa"/>
            <w:tcBorders>
              <w:top w:val="single" w:color="auto" w:sz="4" w:space="0"/>
              <w:left w:val="nil"/>
              <w:bottom w:val="single" w:color="auto" w:sz="4" w:space="0"/>
              <w:right w:val="single" w:color="000000" w:sz="4" w:space="0"/>
            </w:tcBorders>
            <w:vAlign w:val="center"/>
          </w:tcPr>
          <w:p>
            <w:pPr>
              <w:spacing w:line="360" w:lineRule="auto"/>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龙牌、泰山、圣戈班</w:t>
            </w:r>
          </w:p>
        </w:tc>
      </w:tr>
      <w:tr>
        <w:tblPrEx>
          <w:tblCellMar>
            <w:top w:w="0" w:type="dxa"/>
            <w:left w:w="108" w:type="dxa"/>
            <w:bottom w:w="0" w:type="dxa"/>
            <w:right w:w="108" w:type="dxa"/>
          </w:tblCellMar>
        </w:tblPrEx>
        <w:trPr>
          <w:trHeight w:val="285"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3</w:t>
            </w:r>
          </w:p>
        </w:tc>
        <w:tc>
          <w:tcPr>
            <w:tcW w:w="3331" w:type="dxa"/>
            <w:tcBorders>
              <w:top w:val="single" w:color="auto" w:sz="4" w:space="0"/>
              <w:left w:val="nil"/>
              <w:bottom w:val="single" w:color="auto" w:sz="4" w:space="0"/>
              <w:right w:val="single" w:color="000000" w:sz="4" w:space="0"/>
            </w:tcBorders>
            <w:vAlign w:val="center"/>
          </w:tcPr>
          <w:p>
            <w:pPr>
              <w:spacing w:line="360" w:lineRule="auto"/>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轻钢龙骨</w:t>
            </w:r>
          </w:p>
        </w:tc>
        <w:tc>
          <w:tcPr>
            <w:tcW w:w="4074" w:type="dxa"/>
            <w:tcBorders>
              <w:top w:val="single" w:color="auto" w:sz="4" w:space="0"/>
              <w:left w:val="nil"/>
              <w:bottom w:val="single" w:color="auto" w:sz="4" w:space="0"/>
              <w:right w:val="single" w:color="000000" w:sz="4" w:space="0"/>
            </w:tcBorders>
            <w:vAlign w:val="center"/>
          </w:tcPr>
          <w:p>
            <w:pPr>
              <w:spacing w:line="360" w:lineRule="auto"/>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鼎祥、龙牌、生泰</w:t>
            </w:r>
          </w:p>
        </w:tc>
      </w:tr>
      <w:tr>
        <w:tblPrEx>
          <w:tblCellMar>
            <w:top w:w="0" w:type="dxa"/>
            <w:left w:w="108" w:type="dxa"/>
            <w:bottom w:w="0" w:type="dxa"/>
            <w:right w:w="108" w:type="dxa"/>
          </w:tblCellMar>
        </w:tblPrEx>
        <w:trPr>
          <w:trHeight w:val="225"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4</w:t>
            </w:r>
          </w:p>
        </w:tc>
        <w:tc>
          <w:tcPr>
            <w:tcW w:w="3331" w:type="dxa"/>
            <w:tcBorders>
              <w:top w:val="single" w:color="auto" w:sz="4" w:space="0"/>
              <w:left w:val="single" w:color="auto" w:sz="4" w:space="0"/>
              <w:bottom w:val="single" w:color="auto" w:sz="4" w:space="0"/>
              <w:right w:val="single" w:color="000000" w:sz="4" w:space="0"/>
            </w:tcBorders>
            <w:vAlign w:val="center"/>
          </w:tcPr>
          <w:p>
            <w:pPr>
              <w:spacing w:line="360" w:lineRule="auto"/>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门窗五金件</w:t>
            </w:r>
          </w:p>
        </w:tc>
        <w:tc>
          <w:tcPr>
            <w:tcW w:w="4074" w:type="dxa"/>
            <w:tcBorders>
              <w:top w:val="single" w:color="auto" w:sz="4" w:space="0"/>
              <w:left w:val="nil"/>
              <w:bottom w:val="single" w:color="auto" w:sz="4" w:space="0"/>
              <w:right w:val="single" w:color="000000" w:sz="4" w:space="0"/>
            </w:tcBorders>
            <w:vAlign w:val="center"/>
          </w:tcPr>
          <w:p>
            <w:pPr>
              <w:spacing w:line="360" w:lineRule="auto"/>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坚朗、春光、顶固</w:t>
            </w:r>
          </w:p>
        </w:tc>
      </w:tr>
      <w:tr>
        <w:tblPrEx>
          <w:tblCellMar>
            <w:top w:w="0" w:type="dxa"/>
            <w:left w:w="108" w:type="dxa"/>
            <w:bottom w:w="0" w:type="dxa"/>
            <w:right w:w="108" w:type="dxa"/>
          </w:tblCellMar>
        </w:tblPrEx>
        <w:trPr>
          <w:trHeight w:val="225"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Theme="majorEastAsia" w:hAnsiTheme="majorEastAsia" w:eastAsiaTheme="majorEastAsia" w:cstheme="majorEastAsia"/>
                <w:bCs/>
                <w:sz w:val="24"/>
                <w:lang w:eastAsia="zh-CN"/>
              </w:rPr>
            </w:pPr>
            <w:r>
              <w:rPr>
                <w:rFonts w:hint="eastAsia" w:asciiTheme="majorEastAsia" w:hAnsiTheme="majorEastAsia" w:eastAsiaTheme="majorEastAsia" w:cstheme="majorEastAsia"/>
                <w:bCs/>
                <w:sz w:val="24"/>
                <w:lang w:val="en-US" w:eastAsia="zh-CN"/>
              </w:rPr>
              <w:t>5</w:t>
            </w:r>
          </w:p>
        </w:tc>
        <w:tc>
          <w:tcPr>
            <w:tcW w:w="3331" w:type="dxa"/>
            <w:tcBorders>
              <w:top w:val="single" w:color="auto" w:sz="4" w:space="0"/>
              <w:left w:val="single" w:color="auto" w:sz="4" w:space="0"/>
              <w:bottom w:val="single" w:color="auto" w:sz="4" w:space="0"/>
              <w:right w:val="single" w:color="000000" w:sz="4" w:space="0"/>
            </w:tcBorders>
            <w:vAlign w:val="center"/>
          </w:tcPr>
          <w:p>
            <w:pPr>
              <w:spacing w:line="360" w:lineRule="auto"/>
              <w:rPr>
                <w:rFonts w:hint="eastAsia"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墙地砖</w:t>
            </w:r>
          </w:p>
        </w:tc>
        <w:tc>
          <w:tcPr>
            <w:tcW w:w="4074" w:type="dxa"/>
            <w:tcBorders>
              <w:top w:val="single" w:color="auto" w:sz="4" w:space="0"/>
              <w:left w:val="nil"/>
              <w:bottom w:val="single" w:color="auto" w:sz="4" w:space="0"/>
              <w:right w:val="single" w:color="000000" w:sz="4" w:space="0"/>
            </w:tcBorders>
            <w:vAlign w:val="center"/>
          </w:tcPr>
          <w:p>
            <w:pPr>
              <w:spacing w:line="360" w:lineRule="auto"/>
              <w:rPr>
                <w:rFonts w:hint="eastAsia"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大将军、东鹏、</w:t>
            </w:r>
            <w:r>
              <w:rPr>
                <w:rFonts w:asciiTheme="majorEastAsia" w:hAnsiTheme="majorEastAsia" w:eastAsiaTheme="majorEastAsia" w:cstheme="majorEastAsia"/>
                <w:bCs/>
                <w:sz w:val="24"/>
              </w:rPr>
              <w:t>冠珠</w:t>
            </w:r>
          </w:p>
        </w:tc>
      </w:tr>
    </w:tbl>
    <w:p>
      <w:pPr>
        <w:spacing w:line="360" w:lineRule="auto"/>
        <w:ind w:left="-424" w:leftChars="-202" w:firstLine="480" w:firstLineChars="200"/>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投标单位可以选择推荐品牌，也可以选择性能不低于推荐品牌性能的其他品牌，但应在使用前向建设单位提交拟用品牌的型号、信誉度、质量、性能、技术指标等相关证明材料，并经建设单位认可后方可使用；</w:t>
      </w:r>
    </w:p>
    <w:p>
      <w:pPr>
        <w:numPr>
          <w:ilvl w:val="0"/>
          <w:numId w:val="5"/>
        </w:numPr>
        <w:spacing w:line="360" w:lineRule="auto"/>
        <w:ind w:leftChars="0"/>
        <w:rPr>
          <w:rFonts w:hint="eastAsia" w:asciiTheme="majorEastAsia" w:hAnsiTheme="majorEastAsia" w:eastAsiaTheme="majorEastAsia" w:cstheme="majorEastAsia"/>
          <w:bCs/>
          <w:sz w:val="24"/>
          <w:lang w:val="en-US" w:eastAsia="zh-CN"/>
        </w:rPr>
      </w:pPr>
      <w:r>
        <w:rPr>
          <w:rFonts w:hint="eastAsia" w:asciiTheme="majorEastAsia" w:hAnsiTheme="majorEastAsia" w:eastAsiaTheme="majorEastAsia" w:cstheme="majorEastAsia"/>
          <w:bCs/>
          <w:sz w:val="24"/>
        </w:rPr>
        <w:t>措施项目：安全文明施工基本费1.7%、</w:t>
      </w:r>
      <w:r>
        <w:rPr>
          <w:rFonts w:hint="eastAsia" w:asciiTheme="majorEastAsia" w:hAnsiTheme="majorEastAsia" w:eastAsiaTheme="majorEastAsia" w:cstheme="majorEastAsia"/>
          <w:bCs/>
          <w:sz w:val="24"/>
          <w:lang w:val="en-US" w:eastAsia="zh-CN"/>
        </w:rPr>
        <w:t>扬尘污染防治增加费0.22%；</w:t>
      </w:r>
    </w:p>
    <w:p>
      <w:pPr>
        <w:numPr>
          <w:ilvl w:val="0"/>
          <w:numId w:val="5"/>
        </w:numPr>
        <w:spacing w:line="360" w:lineRule="auto"/>
        <w:ind w:leftChars="0"/>
        <w:rPr>
          <w:rFonts w:hint="eastAsia" w:asciiTheme="majorEastAsia" w:hAnsiTheme="majorEastAsia" w:eastAsiaTheme="majorEastAsia" w:cstheme="majorEastAsia"/>
          <w:bCs/>
          <w:sz w:val="24"/>
        </w:rPr>
      </w:pPr>
      <w:r>
        <w:rPr>
          <w:rFonts w:hint="eastAsia" w:asciiTheme="majorEastAsia" w:hAnsiTheme="majorEastAsia" w:eastAsiaTheme="majorEastAsia" w:cstheme="majorEastAsia"/>
          <w:bCs/>
          <w:sz w:val="24"/>
          <w:lang w:val="en-US" w:eastAsia="zh-CN"/>
        </w:rPr>
        <w:t>8.</w:t>
      </w:r>
      <w:r>
        <w:rPr>
          <w:rFonts w:hint="eastAsia" w:asciiTheme="majorEastAsia" w:hAnsiTheme="majorEastAsia" w:eastAsiaTheme="majorEastAsia" w:cstheme="majorEastAsia"/>
          <w:bCs/>
          <w:sz w:val="24"/>
        </w:rPr>
        <w:t>规费、税金：社会保险费2.4%、住房公积金0.42%、税金</w:t>
      </w:r>
      <w:r>
        <w:rPr>
          <w:rFonts w:hint="eastAsia" w:asciiTheme="majorEastAsia" w:hAnsiTheme="majorEastAsia" w:eastAsiaTheme="majorEastAsia" w:cstheme="majorEastAsia"/>
          <w:bCs/>
          <w:sz w:val="24"/>
          <w:lang w:val="en-US" w:eastAsia="zh-CN"/>
        </w:rPr>
        <w:t>9</w:t>
      </w:r>
      <w:r>
        <w:rPr>
          <w:rFonts w:hint="eastAsia" w:asciiTheme="majorEastAsia" w:hAnsiTheme="majorEastAsia" w:eastAsiaTheme="majorEastAsia" w:cstheme="majorEastAsia"/>
          <w:bCs/>
          <w:sz w:val="24"/>
        </w:rPr>
        <w:t>%；</w:t>
      </w:r>
    </w:p>
    <w:p>
      <w:pPr>
        <w:numPr>
          <w:ilvl w:val="0"/>
          <w:numId w:val="0"/>
        </w:numPr>
        <w:spacing w:line="360" w:lineRule="auto"/>
        <w:ind w:leftChars="0"/>
        <w:rPr>
          <w:rFonts w:hint="eastAsia" w:asciiTheme="majorEastAsia" w:hAnsiTheme="majorEastAsia" w:eastAsiaTheme="majorEastAsia" w:cstheme="majorEastAsia"/>
          <w:bCs/>
          <w:sz w:val="24"/>
          <w:szCs w:val="24"/>
          <w:lang w:eastAsia="zh-CN"/>
        </w:rPr>
      </w:pPr>
      <w:r>
        <w:rPr>
          <w:rFonts w:hint="eastAsia" w:asciiTheme="majorEastAsia" w:hAnsiTheme="majorEastAsia" w:eastAsiaTheme="majorEastAsia" w:cstheme="majorEastAsia"/>
          <w:bCs/>
          <w:sz w:val="24"/>
          <w:szCs w:val="24"/>
          <w:lang w:val="en-US" w:eastAsia="zh-CN"/>
        </w:rPr>
        <w:t>9.</w:t>
      </w:r>
      <w:r>
        <w:rPr>
          <w:rFonts w:hint="eastAsia" w:asciiTheme="majorEastAsia" w:hAnsiTheme="majorEastAsia" w:eastAsiaTheme="majorEastAsia" w:cstheme="majorEastAsia"/>
          <w:bCs/>
          <w:sz w:val="24"/>
          <w:szCs w:val="24"/>
        </w:rPr>
        <w:t>其他详见清单;</w:t>
      </w:r>
    </w:p>
    <w:p>
      <w:pPr>
        <w:autoSpaceDE w:val="0"/>
        <w:autoSpaceDN w:val="0"/>
        <w:adjustRightInd w:val="0"/>
        <w:spacing w:line="360" w:lineRule="auto"/>
        <w:ind w:firstLine="562" w:firstLineChars="200"/>
        <w:jc w:val="left"/>
        <w:rPr>
          <w:rFonts w:hint="eastAsia" w:ascii="宋体" w:hAnsi="宋体" w:eastAsia="宋体" w:cs="宋体"/>
          <w:b/>
          <w:bCs w:val="0"/>
          <w:sz w:val="28"/>
          <w:szCs w:val="28"/>
        </w:rPr>
      </w:pPr>
      <w:r>
        <w:rPr>
          <w:rFonts w:hint="eastAsia" w:ascii="宋体" w:hAnsi="宋体" w:eastAsia="宋体" w:cs="宋体"/>
          <w:b/>
          <w:bCs w:val="0"/>
          <w:sz w:val="28"/>
          <w:szCs w:val="28"/>
          <w:lang w:eastAsia="zh-CN"/>
        </w:rPr>
        <w:t>安装</w:t>
      </w:r>
      <w:r>
        <w:rPr>
          <w:rFonts w:hint="eastAsia" w:ascii="宋体" w:hAnsi="宋体" w:eastAsia="宋体" w:cs="宋体"/>
          <w:b/>
          <w:bCs w:val="0"/>
          <w:sz w:val="28"/>
          <w:szCs w:val="28"/>
        </w:rPr>
        <w:t>工程</w:t>
      </w:r>
    </w:p>
    <w:p>
      <w:pPr>
        <w:spacing w:line="500" w:lineRule="exact"/>
        <w:rPr>
          <w:rFonts w:ascii="宋体" w:hAnsi="宋体" w:cs="宋体"/>
          <w:bCs/>
          <w:sz w:val="24"/>
        </w:rPr>
      </w:pPr>
      <w:r>
        <w:rPr>
          <w:rFonts w:hint="eastAsia" w:ascii="宋体" w:hAnsi="宋体" w:cs="宋体"/>
          <w:bCs/>
          <w:sz w:val="24"/>
        </w:rPr>
        <w:t>1、所有电气暗配管清单内，均包含开槽及修补，所有电气暗盒清单内，均包含开孔及修补，部分灯具定额中已包含线盒、金属软管和灯头线，相应清单子目项目特征不另作描述，相关费用包含在综合单价中；电气工程量按设计图纸计算。</w:t>
      </w:r>
    </w:p>
    <w:p>
      <w:pPr>
        <w:spacing w:line="500" w:lineRule="exact"/>
        <w:rPr>
          <w:rFonts w:ascii="宋体" w:hAnsi="宋体" w:cs="宋体"/>
          <w:bCs/>
          <w:sz w:val="24"/>
        </w:rPr>
      </w:pPr>
      <w:r>
        <w:rPr>
          <w:rFonts w:hint="eastAsia" w:ascii="宋体" w:hAnsi="宋体" w:cs="宋体"/>
          <w:bCs/>
          <w:sz w:val="24"/>
        </w:rPr>
        <w:t>2、弱电智能化系统：智能化系统调试费已包含在清单综合单价中，不额外列项。</w:t>
      </w:r>
    </w:p>
    <w:p>
      <w:pPr>
        <w:spacing w:line="500" w:lineRule="exact"/>
        <w:rPr>
          <w:rFonts w:ascii="宋体" w:hAnsi="宋体" w:cs="宋体"/>
          <w:bCs/>
          <w:sz w:val="24"/>
        </w:rPr>
      </w:pPr>
      <w:r>
        <w:rPr>
          <w:rFonts w:hint="eastAsia" w:ascii="宋体" w:hAnsi="宋体" w:cs="宋体"/>
          <w:bCs/>
          <w:sz w:val="24"/>
        </w:rPr>
        <w:t>3、给排水系统：清单项为暂估项，具体按竣工图计算；</w:t>
      </w:r>
    </w:p>
    <w:p>
      <w:pPr>
        <w:spacing w:line="500" w:lineRule="exact"/>
        <w:rPr>
          <w:rFonts w:ascii="宋体" w:hAnsi="宋体" w:cs="宋体"/>
          <w:bCs/>
          <w:sz w:val="24"/>
        </w:rPr>
      </w:pPr>
      <w:r>
        <w:rPr>
          <w:rFonts w:hint="eastAsia" w:ascii="宋体" w:hAnsi="宋体" w:cs="宋体"/>
          <w:bCs/>
          <w:sz w:val="24"/>
        </w:rPr>
        <w:t>4、总价措施项目清单中相关费率按计价规定计算，详见清单</w:t>
      </w:r>
    </w:p>
    <w:p>
      <w:pPr>
        <w:spacing w:line="500" w:lineRule="exact"/>
        <w:rPr>
          <w:rFonts w:ascii="宋体" w:hAnsi="宋体" w:cs="宋体"/>
          <w:bCs/>
          <w:sz w:val="24"/>
        </w:rPr>
      </w:pPr>
      <w:r>
        <w:rPr>
          <w:rFonts w:hint="eastAsia" w:ascii="宋体" w:hAnsi="宋体" w:cs="宋体"/>
          <w:bCs/>
          <w:sz w:val="24"/>
        </w:rPr>
        <w:t>5、规费及税金：各项规费税金费率按现行政策执行；</w:t>
      </w:r>
    </w:p>
    <w:p>
      <w:pPr>
        <w:spacing w:line="500" w:lineRule="exact"/>
        <w:rPr>
          <w:rFonts w:ascii="宋体" w:hAnsi="宋体" w:cs="宋体"/>
          <w:bCs/>
          <w:sz w:val="24"/>
        </w:rPr>
      </w:pPr>
      <w:r>
        <w:rPr>
          <w:rFonts w:hint="eastAsia" w:ascii="宋体" w:hAnsi="宋体" w:cs="宋体"/>
          <w:bCs/>
          <w:sz w:val="24"/>
        </w:rPr>
        <w:t xml:space="preserve">6、暂列金：详见其他项目清单；                    </w:t>
      </w:r>
    </w:p>
    <w:p>
      <w:pPr>
        <w:spacing w:line="500" w:lineRule="exact"/>
        <w:rPr>
          <w:rFonts w:ascii="宋体" w:hAnsi="宋体" w:cs="宋体"/>
          <w:bCs/>
          <w:sz w:val="24"/>
        </w:rPr>
      </w:pPr>
      <w:r>
        <w:rPr>
          <w:rFonts w:hint="eastAsia" w:ascii="宋体" w:hAnsi="宋体" w:cs="宋体"/>
          <w:bCs/>
          <w:sz w:val="24"/>
        </w:rPr>
        <w:t>11、招标人品牌及相关要求：详见下表</w:t>
      </w:r>
    </w:p>
    <w:tbl>
      <w:tblPr>
        <w:tblStyle w:val="4"/>
        <w:tblW w:w="9399" w:type="dxa"/>
        <w:jc w:val="center"/>
        <w:tblLayout w:type="fixed"/>
        <w:tblCellMar>
          <w:top w:w="0" w:type="dxa"/>
          <w:left w:w="108" w:type="dxa"/>
          <w:bottom w:w="0" w:type="dxa"/>
          <w:right w:w="108" w:type="dxa"/>
        </w:tblCellMar>
      </w:tblPr>
      <w:tblGrid>
        <w:gridCol w:w="763"/>
        <w:gridCol w:w="3507"/>
        <w:gridCol w:w="1544"/>
        <w:gridCol w:w="1448"/>
        <w:gridCol w:w="2137"/>
      </w:tblGrid>
      <w:tr>
        <w:tblPrEx>
          <w:tblCellMar>
            <w:top w:w="0" w:type="dxa"/>
            <w:left w:w="108" w:type="dxa"/>
            <w:bottom w:w="0" w:type="dxa"/>
            <w:right w:w="108" w:type="dxa"/>
          </w:tblCellMar>
        </w:tblPrEx>
        <w:trPr>
          <w:trHeight w:val="557" w:hRule="atLeast"/>
          <w:jc w:val="center"/>
        </w:trPr>
        <w:tc>
          <w:tcPr>
            <w:tcW w:w="763" w:type="dxa"/>
            <w:tcBorders>
              <w:top w:val="single" w:color="auto" w:sz="4" w:space="0"/>
              <w:left w:val="single" w:color="auto" w:sz="4" w:space="0"/>
              <w:bottom w:val="single" w:color="auto" w:sz="4" w:space="0"/>
              <w:right w:val="single" w:color="auto" w:sz="4" w:space="0"/>
            </w:tcBorders>
            <w:shd w:val="clear" w:color="FFFFFF" w:fill="FFFFFF"/>
            <w:noWrap/>
            <w:vAlign w:val="center"/>
          </w:tcPr>
          <w:p>
            <w:pPr>
              <w:spacing w:line="500" w:lineRule="exact"/>
              <w:rPr>
                <w:rFonts w:ascii="宋体" w:hAnsi="宋体" w:cs="宋体"/>
                <w:bCs/>
                <w:sz w:val="24"/>
              </w:rPr>
            </w:pPr>
            <w:r>
              <w:rPr>
                <w:rFonts w:hint="eastAsia" w:ascii="宋体" w:hAnsi="宋体" w:cs="宋体"/>
                <w:bCs/>
                <w:sz w:val="24"/>
              </w:rPr>
              <w:t>序号</w:t>
            </w:r>
          </w:p>
        </w:tc>
        <w:tc>
          <w:tcPr>
            <w:tcW w:w="3507" w:type="dxa"/>
            <w:tcBorders>
              <w:top w:val="single" w:color="auto" w:sz="4" w:space="0"/>
              <w:left w:val="nil"/>
              <w:bottom w:val="single" w:color="auto" w:sz="4" w:space="0"/>
              <w:right w:val="single" w:color="auto" w:sz="4" w:space="0"/>
            </w:tcBorders>
            <w:shd w:val="clear" w:color="FFFFFF" w:fill="FFFFFF"/>
            <w:noWrap/>
            <w:vAlign w:val="center"/>
          </w:tcPr>
          <w:p>
            <w:pPr>
              <w:spacing w:line="500" w:lineRule="exact"/>
              <w:rPr>
                <w:rFonts w:ascii="宋体" w:hAnsi="宋体" w:cs="宋体"/>
                <w:bCs/>
                <w:sz w:val="24"/>
              </w:rPr>
            </w:pPr>
            <w:r>
              <w:rPr>
                <w:rFonts w:hint="eastAsia" w:ascii="宋体" w:hAnsi="宋体" w:cs="宋体"/>
                <w:bCs/>
                <w:sz w:val="24"/>
              </w:rPr>
              <w:t>材料名称</w:t>
            </w:r>
          </w:p>
        </w:tc>
        <w:tc>
          <w:tcPr>
            <w:tcW w:w="1544" w:type="dxa"/>
            <w:tcBorders>
              <w:top w:val="single" w:color="auto" w:sz="4" w:space="0"/>
              <w:left w:val="nil"/>
              <w:bottom w:val="single" w:color="auto" w:sz="4" w:space="0"/>
              <w:right w:val="single" w:color="auto" w:sz="4" w:space="0"/>
            </w:tcBorders>
            <w:shd w:val="clear" w:color="FFFFFF" w:fill="FFFFFF"/>
            <w:noWrap/>
            <w:vAlign w:val="center"/>
          </w:tcPr>
          <w:p>
            <w:pPr>
              <w:spacing w:line="500" w:lineRule="exact"/>
              <w:rPr>
                <w:rFonts w:ascii="宋体" w:hAnsi="宋体" w:cs="宋体"/>
                <w:bCs/>
                <w:sz w:val="24"/>
              </w:rPr>
            </w:pPr>
            <w:r>
              <w:rPr>
                <w:rFonts w:hint="eastAsia" w:ascii="宋体" w:hAnsi="宋体" w:cs="宋体"/>
                <w:bCs/>
                <w:sz w:val="24"/>
              </w:rPr>
              <w:t>品牌一</w:t>
            </w:r>
          </w:p>
        </w:tc>
        <w:tc>
          <w:tcPr>
            <w:tcW w:w="1448" w:type="dxa"/>
            <w:tcBorders>
              <w:top w:val="single" w:color="auto" w:sz="4" w:space="0"/>
              <w:left w:val="nil"/>
              <w:bottom w:val="single" w:color="auto" w:sz="4" w:space="0"/>
              <w:right w:val="single" w:color="auto" w:sz="4" w:space="0"/>
            </w:tcBorders>
            <w:shd w:val="clear" w:color="FFFFFF" w:fill="FFFFFF"/>
            <w:noWrap/>
            <w:vAlign w:val="center"/>
          </w:tcPr>
          <w:p>
            <w:pPr>
              <w:spacing w:line="500" w:lineRule="exact"/>
              <w:rPr>
                <w:rFonts w:ascii="宋体" w:hAnsi="宋体" w:cs="宋体"/>
                <w:bCs/>
                <w:sz w:val="24"/>
              </w:rPr>
            </w:pPr>
            <w:r>
              <w:rPr>
                <w:rFonts w:hint="eastAsia" w:ascii="宋体" w:hAnsi="宋体" w:cs="宋体"/>
                <w:bCs/>
                <w:sz w:val="24"/>
              </w:rPr>
              <w:t>品牌二</w:t>
            </w:r>
          </w:p>
        </w:tc>
        <w:tc>
          <w:tcPr>
            <w:tcW w:w="2137" w:type="dxa"/>
            <w:tcBorders>
              <w:top w:val="single" w:color="auto" w:sz="4" w:space="0"/>
              <w:left w:val="nil"/>
              <w:bottom w:val="single" w:color="auto" w:sz="4" w:space="0"/>
              <w:right w:val="single" w:color="auto" w:sz="4" w:space="0"/>
            </w:tcBorders>
            <w:shd w:val="clear" w:color="FFFFFF" w:fill="FFFFFF"/>
            <w:noWrap/>
            <w:vAlign w:val="center"/>
          </w:tcPr>
          <w:p>
            <w:pPr>
              <w:spacing w:line="500" w:lineRule="exact"/>
              <w:rPr>
                <w:rFonts w:ascii="宋体" w:hAnsi="宋体" w:cs="宋体"/>
                <w:bCs/>
                <w:sz w:val="24"/>
              </w:rPr>
            </w:pPr>
            <w:r>
              <w:rPr>
                <w:rFonts w:hint="eastAsia" w:ascii="宋体" w:hAnsi="宋体" w:cs="宋体"/>
                <w:bCs/>
                <w:sz w:val="24"/>
              </w:rPr>
              <w:t>品牌三</w:t>
            </w:r>
          </w:p>
        </w:tc>
      </w:tr>
      <w:tr>
        <w:tblPrEx>
          <w:tblCellMar>
            <w:top w:w="0" w:type="dxa"/>
            <w:left w:w="108" w:type="dxa"/>
            <w:bottom w:w="0" w:type="dxa"/>
            <w:right w:w="108" w:type="dxa"/>
          </w:tblCellMar>
        </w:tblPrEx>
        <w:trPr>
          <w:trHeight w:val="436" w:hRule="atLeast"/>
          <w:jc w:val="center"/>
        </w:trPr>
        <w:tc>
          <w:tcPr>
            <w:tcW w:w="763" w:type="dxa"/>
            <w:tcBorders>
              <w:top w:val="nil"/>
              <w:left w:val="single" w:color="auto" w:sz="4" w:space="0"/>
              <w:bottom w:val="single" w:color="auto" w:sz="4" w:space="0"/>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1</w:t>
            </w:r>
          </w:p>
        </w:tc>
        <w:tc>
          <w:tcPr>
            <w:tcW w:w="3507" w:type="dxa"/>
            <w:tcBorders>
              <w:top w:val="nil"/>
              <w:left w:val="nil"/>
              <w:bottom w:val="single" w:color="auto" w:sz="4" w:space="0"/>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灯具</w:t>
            </w:r>
          </w:p>
        </w:tc>
        <w:tc>
          <w:tcPr>
            <w:tcW w:w="1544" w:type="dxa"/>
            <w:tcBorders>
              <w:top w:val="nil"/>
              <w:left w:val="nil"/>
              <w:bottom w:val="single" w:color="auto" w:sz="4" w:space="0"/>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雷士</w:t>
            </w:r>
          </w:p>
        </w:tc>
        <w:tc>
          <w:tcPr>
            <w:tcW w:w="1448" w:type="dxa"/>
            <w:tcBorders>
              <w:top w:val="nil"/>
              <w:left w:val="nil"/>
              <w:bottom w:val="single" w:color="auto" w:sz="4" w:space="0"/>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英特曼</w:t>
            </w:r>
          </w:p>
        </w:tc>
        <w:tc>
          <w:tcPr>
            <w:tcW w:w="2137" w:type="dxa"/>
            <w:tcBorders>
              <w:top w:val="nil"/>
              <w:left w:val="nil"/>
              <w:bottom w:val="single" w:color="auto" w:sz="4" w:space="0"/>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三雄极光</w:t>
            </w:r>
          </w:p>
        </w:tc>
      </w:tr>
      <w:tr>
        <w:tblPrEx>
          <w:tblCellMar>
            <w:top w:w="0" w:type="dxa"/>
            <w:left w:w="108" w:type="dxa"/>
            <w:bottom w:w="0" w:type="dxa"/>
            <w:right w:w="108" w:type="dxa"/>
          </w:tblCellMar>
        </w:tblPrEx>
        <w:trPr>
          <w:trHeight w:val="373" w:hRule="atLeast"/>
          <w:jc w:val="center"/>
        </w:trPr>
        <w:tc>
          <w:tcPr>
            <w:tcW w:w="763" w:type="dxa"/>
            <w:tcBorders>
              <w:top w:val="nil"/>
              <w:left w:val="single" w:color="auto" w:sz="4" w:space="0"/>
              <w:bottom w:val="single" w:color="auto" w:sz="4" w:space="0"/>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2</w:t>
            </w:r>
          </w:p>
        </w:tc>
        <w:tc>
          <w:tcPr>
            <w:tcW w:w="3507" w:type="dxa"/>
            <w:tcBorders>
              <w:top w:val="nil"/>
              <w:left w:val="nil"/>
              <w:bottom w:val="single" w:color="auto" w:sz="4" w:space="0"/>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电线电缆</w:t>
            </w:r>
          </w:p>
        </w:tc>
        <w:tc>
          <w:tcPr>
            <w:tcW w:w="1544" w:type="dxa"/>
            <w:tcBorders>
              <w:top w:val="nil"/>
              <w:left w:val="nil"/>
              <w:bottom w:val="single" w:color="auto" w:sz="4" w:space="0"/>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上上</w:t>
            </w:r>
          </w:p>
        </w:tc>
        <w:tc>
          <w:tcPr>
            <w:tcW w:w="1448" w:type="dxa"/>
            <w:tcBorders>
              <w:top w:val="nil"/>
              <w:left w:val="nil"/>
              <w:bottom w:val="single" w:color="auto" w:sz="4" w:space="0"/>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远东</w:t>
            </w:r>
          </w:p>
        </w:tc>
        <w:tc>
          <w:tcPr>
            <w:tcW w:w="2137" w:type="dxa"/>
            <w:tcBorders>
              <w:top w:val="nil"/>
              <w:left w:val="nil"/>
              <w:bottom w:val="single" w:color="auto" w:sz="4" w:space="0"/>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长风</w:t>
            </w:r>
          </w:p>
        </w:tc>
      </w:tr>
      <w:tr>
        <w:tblPrEx>
          <w:tblCellMar>
            <w:top w:w="0" w:type="dxa"/>
            <w:left w:w="108" w:type="dxa"/>
            <w:bottom w:w="0" w:type="dxa"/>
            <w:right w:w="108" w:type="dxa"/>
          </w:tblCellMar>
        </w:tblPrEx>
        <w:trPr>
          <w:trHeight w:val="373" w:hRule="atLeast"/>
          <w:jc w:val="center"/>
        </w:trPr>
        <w:tc>
          <w:tcPr>
            <w:tcW w:w="763" w:type="dxa"/>
            <w:tcBorders>
              <w:top w:val="nil"/>
              <w:left w:val="single" w:color="auto" w:sz="4" w:space="0"/>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3</w:t>
            </w:r>
          </w:p>
        </w:tc>
        <w:tc>
          <w:tcPr>
            <w:tcW w:w="3507" w:type="dxa"/>
            <w:tcBorders>
              <w:top w:val="nil"/>
              <w:left w:val="nil"/>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开关插座</w:t>
            </w:r>
          </w:p>
        </w:tc>
        <w:tc>
          <w:tcPr>
            <w:tcW w:w="1544" w:type="dxa"/>
            <w:tcBorders>
              <w:top w:val="nil"/>
              <w:left w:val="nil"/>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西蒙</w:t>
            </w:r>
          </w:p>
        </w:tc>
        <w:tc>
          <w:tcPr>
            <w:tcW w:w="1448" w:type="dxa"/>
            <w:tcBorders>
              <w:top w:val="nil"/>
              <w:left w:val="nil"/>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正泰</w:t>
            </w:r>
          </w:p>
        </w:tc>
        <w:tc>
          <w:tcPr>
            <w:tcW w:w="2137" w:type="dxa"/>
            <w:tcBorders>
              <w:top w:val="nil"/>
              <w:left w:val="nil"/>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施耐德</w:t>
            </w:r>
          </w:p>
        </w:tc>
      </w:tr>
      <w:tr>
        <w:tblPrEx>
          <w:tblCellMar>
            <w:top w:w="0" w:type="dxa"/>
            <w:left w:w="108" w:type="dxa"/>
            <w:bottom w:w="0" w:type="dxa"/>
            <w:right w:w="108" w:type="dxa"/>
          </w:tblCellMar>
        </w:tblPrEx>
        <w:trPr>
          <w:trHeight w:val="373" w:hRule="atLeast"/>
          <w:jc w:val="center"/>
        </w:trPr>
        <w:tc>
          <w:tcPr>
            <w:tcW w:w="763" w:type="dxa"/>
            <w:tcBorders>
              <w:top w:val="nil"/>
              <w:left w:val="single" w:color="auto" w:sz="4" w:space="0"/>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4</w:t>
            </w:r>
          </w:p>
        </w:tc>
        <w:tc>
          <w:tcPr>
            <w:tcW w:w="3507" w:type="dxa"/>
            <w:tcBorders>
              <w:top w:val="nil"/>
              <w:left w:val="nil"/>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 xml:space="preserve">卫生洁具 </w:t>
            </w:r>
          </w:p>
        </w:tc>
        <w:tc>
          <w:tcPr>
            <w:tcW w:w="1544" w:type="dxa"/>
            <w:tcBorders>
              <w:top w:val="nil"/>
              <w:left w:val="nil"/>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TOTO</w:t>
            </w:r>
          </w:p>
        </w:tc>
        <w:tc>
          <w:tcPr>
            <w:tcW w:w="1448" w:type="dxa"/>
            <w:tcBorders>
              <w:top w:val="nil"/>
              <w:left w:val="nil"/>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科勒</w:t>
            </w:r>
          </w:p>
        </w:tc>
        <w:tc>
          <w:tcPr>
            <w:tcW w:w="2137" w:type="dxa"/>
            <w:tcBorders>
              <w:top w:val="nil"/>
              <w:left w:val="nil"/>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杜拉维特</w:t>
            </w:r>
          </w:p>
        </w:tc>
      </w:tr>
      <w:tr>
        <w:tblPrEx>
          <w:tblCellMar>
            <w:top w:w="0" w:type="dxa"/>
            <w:left w:w="108" w:type="dxa"/>
            <w:bottom w:w="0" w:type="dxa"/>
            <w:right w:w="108" w:type="dxa"/>
          </w:tblCellMar>
        </w:tblPrEx>
        <w:trPr>
          <w:trHeight w:val="373" w:hRule="atLeast"/>
          <w:jc w:val="center"/>
        </w:trPr>
        <w:tc>
          <w:tcPr>
            <w:tcW w:w="763" w:type="dxa"/>
            <w:tcBorders>
              <w:top w:val="nil"/>
              <w:left w:val="single" w:color="auto" w:sz="4" w:space="0"/>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5</w:t>
            </w:r>
          </w:p>
        </w:tc>
        <w:tc>
          <w:tcPr>
            <w:tcW w:w="3507" w:type="dxa"/>
            <w:tcBorders>
              <w:top w:val="nil"/>
              <w:left w:val="nil"/>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监控、门禁</w:t>
            </w:r>
          </w:p>
        </w:tc>
        <w:tc>
          <w:tcPr>
            <w:tcW w:w="1544" w:type="dxa"/>
            <w:tcBorders>
              <w:top w:val="nil"/>
              <w:left w:val="nil"/>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海康</w:t>
            </w:r>
          </w:p>
        </w:tc>
        <w:tc>
          <w:tcPr>
            <w:tcW w:w="1448" w:type="dxa"/>
            <w:tcBorders>
              <w:top w:val="nil"/>
              <w:left w:val="nil"/>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宇视</w:t>
            </w:r>
          </w:p>
        </w:tc>
        <w:tc>
          <w:tcPr>
            <w:tcW w:w="2137" w:type="dxa"/>
            <w:tcBorders>
              <w:top w:val="nil"/>
              <w:left w:val="nil"/>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大华</w:t>
            </w:r>
          </w:p>
        </w:tc>
      </w:tr>
      <w:tr>
        <w:tblPrEx>
          <w:tblCellMar>
            <w:top w:w="0" w:type="dxa"/>
            <w:left w:w="108" w:type="dxa"/>
            <w:bottom w:w="0" w:type="dxa"/>
            <w:right w:w="108" w:type="dxa"/>
          </w:tblCellMar>
        </w:tblPrEx>
        <w:trPr>
          <w:trHeight w:val="373" w:hRule="atLeast"/>
          <w:jc w:val="center"/>
        </w:trPr>
        <w:tc>
          <w:tcPr>
            <w:tcW w:w="763" w:type="dxa"/>
            <w:tcBorders>
              <w:top w:val="nil"/>
              <w:left w:val="single" w:color="auto" w:sz="4" w:space="0"/>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6</w:t>
            </w:r>
          </w:p>
        </w:tc>
        <w:tc>
          <w:tcPr>
            <w:tcW w:w="3507" w:type="dxa"/>
            <w:tcBorders>
              <w:top w:val="nil"/>
              <w:left w:val="nil"/>
              <w:bottom w:val="nil"/>
              <w:right w:val="single" w:color="auto" w:sz="4" w:space="0"/>
            </w:tcBorders>
            <w:noWrap/>
            <w:vAlign w:val="center"/>
          </w:tcPr>
          <w:p>
            <w:pPr>
              <w:spacing w:line="500" w:lineRule="exact"/>
              <w:rPr>
                <w:rFonts w:ascii="新宋体" w:hAnsi="新宋体" w:eastAsia="新宋体"/>
                <w:bCs/>
                <w:sz w:val="24"/>
              </w:rPr>
            </w:pPr>
            <w:r>
              <w:rPr>
                <w:rFonts w:hint="eastAsia" w:ascii="新宋体" w:hAnsi="新宋体" w:eastAsia="新宋体"/>
                <w:bCs/>
                <w:sz w:val="24"/>
              </w:rPr>
              <w:t>交换机、硬盘录像机</w:t>
            </w:r>
          </w:p>
        </w:tc>
        <w:tc>
          <w:tcPr>
            <w:tcW w:w="1544" w:type="dxa"/>
            <w:tcBorders>
              <w:top w:val="nil"/>
              <w:left w:val="nil"/>
              <w:bottom w:val="nil"/>
              <w:right w:val="single" w:color="auto" w:sz="4" w:space="0"/>
            </w:tcBorders>
            <w:noWrap/>
            <w:vAlign w:val="center"/>
          </w:tcPr>
          <w:p>
            <w:pPr>
              <w:spacing w:line="500" w:lineRule="exact"/>
              <w:rPr>
                <w:rFonts w:ascii="新宋体" w:hAnsi="新宋体" w:eastAsia="新宋体"/>
                <w:bCs/>
                <w:sz w:val="24"/>
              </w:rPr>
            </w:pPr>
            <w:r>
              <w:rPr>
                <w:rFonts w:hint="eastAsia" w:ascii="新宋体" w:hAnsi="新宋体" w:eastAsia="新宋体"/>
                <w:bCs/>
                <w:sz w:val="24"/>
              </w:rPr>
              <w:t>华为</w:t>
            </w:r>
          </w:p>
        </w:tc>
        <w:tc>
          <w:tcPr>
            <w:tcW w:w="1448" w:type="dxa"/>
            <w:tcBorders>
              <w:top w:val="nil"/>
              <w:left w:val="nil"/>
              <w:bottom w:val="nil"/>
              <w:right w:val="single" w:color="auto" w:sz="4" w:space="0"/>
            </w:tcBorders>
            <w:noWrap/>
            <w:vAlign w:val="center"/>
          </w:tcPr>
          <w:p>
            <w:pPr>
              <w:spacing w:line="500" w:lineRule="exact"/>
              <w:rPr>
                <w:rFonts w:ascii="新宋体" w:hAnsi="新宋体" w:eastAsia="新宋体"/>
                <w:bCs/>
                <w:sz w:val="24"/>
              </w:rPr>
            </w:pPr>
            <w:r>
              <w:rPr>
                <w:rFonts w:hint="eastAsia" w:ascii="新宋体" w:hAnsi="新宋体" w:eastAsia="新宋体"/>
                <w:bCs/>
                <w:sz w:val="24"/>
              </w:rPr>
              <w:t>H3C</w:t>
            </w:r>
          </w:p>
        </w:tc>
        <w:tc>
          <w:tcPr>
            <w:tcW w:w="2137" w:type="dxa"/>
            <w:tcBorders>
              <w:top w:val="nil"/>
              <w:left w:val="nil"/>
              <w:bottom w:val="nil"/>
              <w:right w:val="single" w:color="auto" w:sz="4" w:space="0"/>
            </w:tcBorders>
            <w:noWrap/>
            <w:vAlign w:val="center"/>
          </w:tcPr>
          <w:p>
            <w:pPr>
              <w:spacing w:line="500" w:lineRule="exact"/>
              <w:rPr>
                <w:rFonts w:ascii="新宋体" w:hAnsi="新宋体" w:eastAsia="新宋体"/>
                <w:bCs/>
                <w:sz w:val="24"/>
              </w:rPr>
            </w:pPr>
            <w:r>
              <w:rPr>
                <w:rFonts w:hint="eastAsia" w:ascii="新宋体" w:hAnsi="新宋体" w:eastAsia="新宋体"/>
                <w:bCs/>
                <w:sz w:val="24"/>
              </w:rPr>
              <w:t>锐捷</w:t>
            </w:r>
          </w:p>
        </w:tc>
      </w:tr>
      <w:tr>
        <w:tblPrEx>
          <w:tblCellMar>
            <w:top w:w="0" w:type="dxa"/>
            <w:left w:w="108" w:type="dxa"/>
            <w:bottom w:w="0" w:type="dxa"/>
            <w:right w:w="108" w:type="dxa"/>
          </w:tblCellMar>
        </w:tblPrEx>
        <w:trPr>
          <w:trHeight w:val="373" w:hRule="atLeast"/>
          <w:jc w:val="center"/>
        </w:trPr>
        <w:tc>
          <w:tcPr>
            <w:tcW w:w="763" w:type="dxa"/>
            <w:tcBorders>
              <w:top w:val="nil"/>
              <w:left w:val="single" w:color="auto" w:sz="4" w:space="0"/>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7</w:t>
            </w:r>
          </w:p>
        </w:tc>
        <w:tc>
          <w:tcPr>
            <w:tcW w:w="3507" w:type="dxa"/>
            <w:tcBorders>
              <w:top w:val="nil"/>
              <w:left w:val="nil"/>
              <w:bottom w:val="nil"/>
              <w:right w:val="single" w:color="auto" w:sz="4" w:space="0"/>
            </w:tcBorders>
            <w:noWrap/>
            <w:vAlign w:val="center"/>
          </w:tcPr>
          <w:p>
            <w:pPr>
              <w:spacing w:line="500" w:lineRule="exact"/>
              <w:rPr>
                <w:rFonts w:ascii="新宋体" w:hAnsi="新宋体" w:eastAsia="新宋体"/>
                <w:bCs/>
                <w:sz w:val="24"/>
              </w:rPr>
            </w:pPr>
            <w:r>
              <w:rPr>
                <w:rFonts w:hint="eastAsia" w:ascii="新宋体" w:hAnsi="新宋体" w:eastAsia="新宋体"/>
                <w:bCs/>
                <w:sz w:val="24"/>
              </w:rPr>
              <w:t>水龙头</w:t>
            </w:r>
          </w:p>
        </w:tc>
        <w:tc>
          <w:tcPr>
            <w:tcW w:w="1544" w:type="dxa"/>
            <w:tcBorders>
              <w:top w:val="nil"/>
              <w:left w:val="nil"/>
              <w:bottom w:val="nil"/>
              <w:right w:val="single" w:color="auto" w:sz="4" w:space="0"/>
            </w:tcBorders>
            <w:noWrap/>
            <w:vAlign w:val="center"/>
          </w:tcPr>
          <w:p>
            <w:pPr>
              <w:spacing w:line="500" w:lineRule="exact"/>
              <w:rPr>
                <w:rFonts w:ascii="新宋体" w:hAnsi="新宋体" w:eastAsia="新宋体"/>
                <w:bCs/>
                <w:sz w:val="24"/>
              </w:rPr>
            </w:pPr>
            <w:r>
              <w:rPr>
                <w:rFonts w:hint="eastAsia" w:ascii="新宋体" w:hAnsi="新宋体" w:eastAsia="新宋体"/>
                <w:bCs/>
                <w:sz w:val="24"/>
              </w:rPr>
              <w:t>箭牌</w:t>
            </w:r>
          </w:p>
        </w:tc>
        <w:tc>
          <w:tcPr>
            <w:tcW w:w="1448" w:type="dxa"/>
            <w:tcBorders>
              <w:top w:val="nil"/>
              <w:left w:val="nil"/>
              <w:bottom w:val="nil"/>
              <w:right w:val="single" w:color="auto" w:sz="4" w:space="0"/>
            </w:tcBorders>
            <w:noWrap/>
            <w:vAlign w:val="center"/>
          </w:tcPr>
          <w:p>
            <w:pPr>
              <w:spacing w:line="500" w:lineRule="exact"/>
              <w:rPr>
                <w:rFonts w:ascii="新宋体" w:hAnsi="新宋体" w:eastAsia="新宋体"/>
                <w:bCs/>
                <w:sz w:val="24"/>
              </w:rPr>
            </w:pPr>
            <w:r>
              <w:rPr>
                <w:rFonts w:hint="eastAsia" w:ascii="新宋体" w:hAnsi="新宋体" w:eastAsia="新宋体"/>
                <w:bCs/>
                <w:sz w:val="24"/>
              </w:rPr>
              <w:t>华帝</w:t>
            </w:r>
          </w:p>
        </w:tc>
        <w:tc>
          <w:tcPr>
            <w:tcW w:w="2137" w:type="dxa"/>
            <w:tcBorders>
              <w:top w:val="nil"/>
              <w:left w:val="nil"/>
              <w:bottom w:val="nil"/>
              <w:right w:val="single" w:color="auto" w:sz="4" w:space="0"/>
            </w:tcBorders>
            <w:noWrap/>
            <w:vAlign w:val="center"/>
          </w:tcPr>
          <w:p>
            <w:pPr>
              <w:spacing w:line="500" w:lineRule="exact"/>
              <w:rPr>
                <w:rFonts w:ascii="新宋体" w:hAnsi="新宋体" w:eastAsia="新宋体"/>
                <w:bCs/>
                <w:sz w:val="24"/>
              </w:rPr>
            </w:pPr>
            <w:r>
              <w:rPr>
                <w:rFonts w:hint="eastAsia" w:ascii="新宋体" w:hAnsi="新宋体" w:eastAsia="新宋体"/>
                <w:bCs/>
                <w:sz w:val="24"/>
              </w:rPr>
              <w:t>四季沐歌</w:t>
            </w:r>
          </w:p>
        </w:tc>
      </w:tr>
      <w:tr>
        <w:tblPrEx>
          <w:tblCellMar>
            <w:top w:w="0" w:type="dxa"/>
            <w:left w:w="108" w:type="dxa"/>
            <w:bottom w:w="0" w:type="dxa"/>
            <w:right w:w="108" w:type="dxa"/>
          </w:tblCellMar>
        </w:tblPrEx>
        <w:trPr>
          <w:trHeight w:val="373" w:hRule="atLeast"/>
          <w:jc w:val="center"/>
        </w:trPr>
        <w:tc>
          <w:tcPr>
            <w:tcW w:w="763" w:type="dxa"/>
            <w:tcBorders>
              <w:top w:val="nil"/>
              <w:left w:val="single" w:color="auto" w:sz="4" w:space="0"/>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8</w:t>
            </w:r>
          </w:p>
        </w:tc>
        <w:tc>
          <w:tcPr>
            <w:tcW w:w="3507" w:type="dxa"/>
            <w:tcBorders>
              <w:top w:val="nil"/>
              <w:left w:val="nil"/>
              <w:bottom w:val="nil"/>
              <w:right w:val="single" w:color="auto" w:sz="4" w:space="0"/>
            </w:tcBorders>
            <w:noWrap/>
            <w:vAlign w:val="center"/>
          </w:tcPr>
          <w:p>
            <w:pPr>
              <w:spacing w:line="500" w:lineRule="exact"/>
              <w:rPr>
                <w:rFonts w:ascii="新宋体" w:hAnsi="新宋体" w:eastAsia="新宋体"/>
                <w:bCs/>
                <w:sz w:val="24"/>
              </w:rPr>
            </w:pPr>
            <w:r>
              <w:rPr>
                <w:rFonts w:hint="eastAsia" w:ascii="新宋体" w:hAnsi="新宋体" w:eastAsia="新宋体"/>
                <w:bCs/>
                <w:sz w:val="24"/>
              </w:rPr>
              <w:t>弱电机柜</w:t>
            </w:r>
          </w:p>
        </w:tc>
        <w:tc>
          <w:tcPr>
            <w:tcW w:w="1544" w:type="dxa"/>
            <w:tcBorders>
              <w:top w:val="nil"/>
              <w:left w:val="nil"/>
              <w:bottom w:val="nil"/>
              <w:right w:val="single" w:color="auto" w:sz="4" w:space="0"/>
            </w:tcBorders>
            <w:noWrap/>
            <w:vAlign w:val="center"/>
          </w:tcPr>
          <w:p>
            <w:pPr>
              <w:spacing w:line="500" w:lineRule="exact"/>
              <w:rPr>
                <w:rFonts w:ascii="新宋体" w:hAnsi="新宋体" w:eastAsia="新宋体"/>
                <w:bCs/>
                <w:sz w:val="24"/>
              </w:rPr>
            </w:pPr>
            <w:r>
              <w:rPr>
                <w:rFonts w:hint="eastAsia" w:ascii="新宋体" w:hAnsi="新宋体" w:eastAsia="新宋体"/>
                <w:bCs/>
                <w:sz w:val="24"/>
              </w:rPr>
              <w:t>图腾</w:t>
            </w:r>
          </w:p>
        </w:tc>
        <w:tc>
          <w:tcPr>
            <w:tcW w:w="1448" w:type="dxa"/>
            <w:tcBorders>
              <w:top w:val="nil"/>
              <w:left w:val="nil"/>
              <w:bottom w:val="nil"/>
              <w:right w:val="single" w:color="auto" w:sz="4" w:space="0"/>
            </w:tcBorders>
            <w:noWrap/>
            <w:vAlign w:val="center"/>
          </w:tcPr>
          <w:p>
            <w:pPr>
              <w:spacing w:line="500" w:lineRule="exact"/>
              <w:rPr>
                <w:rFonts w:ascii="新宋体" w:hAnsi="新宋体" w:eastAsia="新宋体"/>
                <w:bCs/>
                <w:sz w:val="24"/>
              </w:rPr>
            </w:pPr>
            <w:r>
              <w:rPr>
                <w:rFonts w:hint="eastAsia" w:ascii="新宋体" w:hAnsi="新宋体" w:eastAsia="新宋体"/>
                <w:bCs/>
                <w:sz w:val="24"/>
              </w:rPr>
              <w:t>新宇宙</w:t>
            </w:r>
          </w:p>
        </w:tc>
        <w:tc>
          <w:tcPr>
            <w:tcW w:w="2137" w:type="dxa"/>
            <w:tcBorders>
              <w:top w:val="nil"/>
              <w:left w:val="nil"/>
              <w:bottom w:val="nil"/>
              <w:right w:val="single" w:color="auto" w:sz="4" w:space="0"/>
            </w:tcBorders>
            <w:noWrap/>
            <w:vAlign w:val="center"/>
          </w:tcPr>
          <w:p>
            <w:pPr>
              <w:spacing w:line="500" w:lineRule="exact"/>
              <w:rPr>
                <w:rFonts w:ascii="新宋体" w:hAnsi="新宋体" w:eastAsia="新宋体"/>
                <w:bCs/>
                <w:sz w:val="24"/>
              </w:rPr>
            </w:pPr>
            <w:r>
              <w:rPr>
                <w:rFonts w:hint="eastAsia" w:ascii="新宋体" w:hAnsi="新宋体" w:eastAsia="新宋体"/>
                <w:bCs/>
                <w:sz w:val="24"/>
              </w:rPr>
              <w:t>神虎</w:t>
            </w:r>
          </w:p>
        </w:tc>
      </w:tr>
      <w:tr>
        <w:tblPrEx>
          <w:tblCellMar>
            <w:top w:w="0" w:type="dxa"/>
            <w:left w:w="108" w:type="dxa"/>
            <w:bottom w:w="0" w:type="dxa"/>
            <w:right w:w="108" w:type="dxa"/>
          </w:tblCellMar>
        </w:tblPrEx>
        <w:trPr>
          <w:trHeight w:val="373" w:hRule="atLeast"/>
          <w:jc w:val="center"/>
        </w:trPr>
        <w:tc>
          <w:tcPr>
            <w:tcW w:w="763" w:type="dxa"/>
            <w:tcBorders>
              <w:top w:val="nil"/>
              <w:left w:val="single" w:color="auto" w:sz="4" w:space="0"/>
              <w:bottom w:val="single" w:color="auto" w:sz="4" w:space="0"/>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9</w:t>
            </w:r>
          </w:p>
        </w:tc>
        <w:tc>
          <w:tcPr>
            <w:tcW w:w="3507" w:type="dxa"/>
            <w:tcBorders>
              <w:top w:val="nil"/>
              <w:left w:val="nil"/>
              <w:bottom w:val="single" w:color="auto" w:sz="4" w:space="0"/>
              <w:right w:val="single" w:color="auto" w:sz="4" w:space="0"/>
            </w:tcBorders>
            <w:noWrap/>
            <w:vAlign w:val="center"/>
          </w:tcPr>
          <w:p>
            <w:pPr>
              <w:spacing w:line="500" w:lineRule="exact"/>
              <w:rPr>
                <w:rFonts w:ascii="新宋体" w:hAnsi="新宋体" w:eastAsia="新宋体"/>
                <w:bCs/>
                <w:sz w:val="24"/>
              </w:rPr>
            </w:pPr>
            <w:r>
              <w:rPr>
                <w:rFonts w:hint="eastAsia" w:ascii="新宋体" w:hAnsi="新宋体" w:eastAsia="新宋体"/>
                <w:bCs/>
                <w:sz w:val="24"/>
              </w:rPr>
              <w:t>弱电电源线、网线</w:t>
            </w:r>
          </w:p>
        </w:tc>
        <w:tc>
          <w:tcPr>
            <w:tcW w:w="1544" w:type="dxa"/>
            <w:tcBorders>
              <w:top w:val="nil"/>
              <w:left w:val="nil"/>
              <w:bottom w:val="single" w:color="auto" w:sz="4" w:space="0"/>
              <w:right w:val="single" w:color="auto" w:sz="4" w:space="0"/>
            </w:tcBorders>
            <w:noWrap/>
            <w:vAlign w:val="center"/>
          </w:tcPr>
          <w:p>
            <w:pPr>
              <w:spacing w:line="500" w:lineRule="exact"/>
              <w:rPr>
                <w:rFonts w:ascii="新宋体" w:hAnsi="新宋体" w:eastAsia="新宋体"/>
                <w:bCs/>
                <w:sz w:val="24"/>
              </w:rPr>
            </w:pPr>
            <w:r>
              <w:rPr>
                <w:rFonts w:hint="eastAsia" w:ascii="新宋体" w:hAnsi="新宋体" w:eastAsia="新宋体"/>
                <w:bCs/>
                <w:sz w:val="24"/>
              </w:rPr>
              <w:t>红星</w:t>
            </w:r>
          </w:p>
        </w:tc>
        <w:tc>
          <w:tcPr>
            <w:tcW w:w="1448" w:type="dxa"/>
            <w:tcBorders>
              <w:top w:val="nil"/>
              <w:left w:val="nil"/>
              <w:bottom w:val="single" w:color="auto" w:sz="4" w:space="0"/>
              <w:right w:val="single" w:color="auto" w:sz="4" w:space="0"/>
            </w:tcBorders>
            <w:noWrap/>
            <w:vAlign w:val="center"/>
          </w:tcPr>
          <w:p>
            <w:pPr>
              <w:spacing w:line="500" w:lineRule="exact"/>
              <w:rPr>
                <w:rFonts w:ascii="新宋体" w:hAnsi="新宋体" w:eastAsia="新宋体"/>
                <w:bCs/>
                <w:sz w:val="24"/>
              </w:rPr>
            </w:pPr>
            <w:r>
              <w:rPr>
                <w:rFonts w:hint="eastAsia" w:ascii="新宋体" w:hAnsi="新宋体" w:eastAsia="新宋体"/>
                <w:bCs/>
                <w:sz w:val="24"/>
              </w:rPr>
              <w:t>施展</w:t>
            </w:r>
          </w:p>
        </w:tc>
        <w:tc>
          <w:tcPr>
            <w:tcW w:w="2137" w:type="dxa"/>
            <w:tcBorders>
              <w:top w:val="nil"/>
              <w:left w:val="nil"/>
              <w:bottom w:val="single" w:color="auto" w:sz="4" w:space="0"/>
              <w:right w:val="single" w:color="auto" w:sz="4" w:space="0"/>
            </w:tcBorders>
            <w:noWrap/>
            <w:vAlign w:val="center"/>
          </w:tcPr>
          <w:p>
            <w:pPr>
              <w:spacing w:line="500" w:lineRule="exact"/>
              <w:rPr>
                <w:rFonts w:ascii="新宋体" w:hAnsi="新宋体" w:eastAsia="新宋体"/>
                <w:bCs/>
                <w:sz w:val="24"/>
              </w:rPr>
            </w:pPr>
            <w:r>
              <w:rPr>
                <w:rFonts w:hint="eastAsia" w:ascii="新宋体" w:hAnsi="新宋体" w:eastAsia="新宋体"/>
                <w:bCs/>
                <w:sz w:val="24"/>
              </w:rPr>
              <w:t>颂诚</w:t>
            </w:r>
          </w:p>
        </w:tc>
      </w:tr>
    </w:tbl>
    <w:p>
      <w:pPr>
        <w:autoSpaceDE w:val="0"/>
        <w:autoSpaceDN w:val="0"/>
        <w:adjustRightInd w:val="0"/>
        <w:snapToGrid w:val="0"/>
        <w:spacing w:line="460" w:lineRule="exact"/>
        <w:rPr>
          <w:rFonts w:ascii="宋体" w:hAnsi="宋体" w:cs="宋体"/>
          <w:bCs/>
          <w:sz w:val="24"/>
          <w:highlight w:val="yellow"/>
        </w:rPr>
      </w:pPr>
    </w:p>
    <w:p>
      <w:pPr>
        <w:autoSpaceDE w:val="0"/>
        <w:autoSpaceDN w:val="0"/>
        <w:adjustRightInd w:val="0"/>
        <w:snapToGrid w:val="0"/>
        <w:spacing w:line="460" w:lineRule="exact"/>
        <w:ind w:left="360" w:hanging="360" w:hangingChars="150"/>
        <w:rPr>
          <w:rFonts w:ascii="宋体" w:hAnsi="宋体" w:cs="宋体"/>
          <w:bCs/>
          <w:sz w:val="24"/>
          <w:highlight w:val="none"/>
        </w:rPr>
      </w:pPr>
      <w:r>
        <w:rPr>
          <w:rFonts w:hint="eastAsia" w:ascii="宋体" w:hAnsi="宋体" w:cs="宋体"/>
          <w:bCs/>
          <w:sz w:val="24"/>
          <w:highlight w:val="none"/>
        </w:rPr>
        <w:t xml:space="preserve">                                         江苏鑫洋建设项目管理有限公司</w:t>
      </w:r>
    </w:p>
    <w:p>
      <w:pPr>
        <w:autoSpaceDE w:val="0"/>
        <w:autoSpaceDN w:val="0"/>
        <w:adjustRightInd w:val="0"/>
        <w:snapToGrid w:val="0"/>
        <w:spacing w:line="460" w:lineRule="exact"/>
        <w:ind w:left="360" w:hanging="360" w:hangingChars="150"/>
        <w:rPr>
          <w:rFonts w:ascii="宋体" w:hAnsi="宋体" w:cs="宋体"/>
          <w:bCs/>
          <w:sz w:val="24"/>
          <w:highlight w:val="none"/>
        </w:rPr>
      </w:pPr>
      <w:r>
        <w:rPr>
          <w:rFonts w:hint="eastAsia" w:ascii="宋体" w:hAnsi="宋体" w:cs="宋体"/>
          <w:bCs/>
          <w:sz w:val="24"/>
          <w:highlight w:val="none"/>
        </w:rPr>
        <w:t xml:space="preserve">                                                     202</w:t>
      </w:r>
      <w:r>
        <w:rPr>
          <w:rFonts w:hint="eastAsia" w:ascii="宋体" w:hAnsi="宋体" w:cs="宋体"/>
          <w:bCs/>
          <w:sz w:val="24"/>
          <w:highlight w:val="none"/>
          <w:lang w:val="en-US" w:eastAsia="zh-CN"/>
        </w:rPr>
        <w:t>3</w:t>
      </w:r>
      <w:r>
        <w:rPr>
          <w:rFonts w:hint="eastAsia" w:ascii="宋体" w:hAnsi="宋体" w:cs="宋体"/>
          <w:bCs/>
          <w:sz w:val="24"/>
          <w:highlight w:val="none"/>
        </w:rPr>
        <w:t>年</w:t>
      </w:r>
      <w:r>
        <w:rPr>
          <w:rFonts w:hint="eastAsia" w:ascii="宋体" w:hAnsi="宋体" w:cs="宋体"/>
          <w:bCs/>
          <w:sz w:val="24"/>
          <w:highlight w:val="none"/>
          <w:lang w:val="en-US" w:eastAsia="zh-CN"/>
        </w:rPr>
        <w:t>2</w:t>
      </w:r>
      <w:r>
        <w:rPr>
          <w:rFonts w:hint="eastAsia" w:ascii="宋体" w:hAnsi="宋体" w:cs="宋体"/>
          <w:bCs/>
          <w:sz w:val="24"/>
          <w:highlight w:val="none"/>
        </w:rPr>
        <w:t>月</w:t>
      </w:r>
      <w:r>
        <w:rPr>
          <w:rFonts w:hint="eastAsia" w:ascii="宋体" w:hAnsi="宋体" w:cs="宋体"/>
          <w:bCs/>
          <w:sz w:val="24"/>
          <w:highlight w:val="none"/>
          <w:lang w:val="en-US" w:eastAsia="zh-CN"/>
        </w:rPr>
        <w:t>26</w:t>
      </w:r>
      <w:r>
        <w:rPr>
          <w:rFonts w:hint="eastAsia" w:ascii="宋体" w:hAnsi="宋体" w:cs="宋体"/>
          <w:bCs/>
          <w:sz w:val="24"/>
          <w:highlight w:val="none"/>
        </w:rPr>
        <w:t>日</w:t>
      </w:r>
    </w:p>
    <w:p>
      <w:pPr>
        <w:autoSpaceDE w:val="0"/>
        <w:autoSpaceDN w:val="0"/>
        <w:adjustRightInd w:val="0"/>
        <w:snapToGrid w:val="0"/>
        <w:spacing w:line="460" w:lineRule="exact"/>
        <w:ind w:left="360" w:hanging="360" w:hangingChars="150"/>
        <w:rPr>
          <w:rFonts w:hint="eastAsia" w:ascii="宋体" w:hAnsi="宋体" w:eastAsia="宋体" w:cs="宋体"/>
          <w:bCs/>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32623D"/>
    <w:multiLevelType w:val="singleLevel"/>
    <w:tmpl w:val="1432623D"/>
    <w:lvl w:ilvl="0" w:tentative="0">
      <w:start w:val="7"/>
      <w:numFmt w:val="decimal"/>
      <w:lvlText w:val="%1."/>
      <w:lvlJc w:val="left"/>
      <w:pPr>
        <w:tabs>
          <w:tab w:val="left" w:pos="312"/>
        </w:tabs>
      </w:pPr>
    </w:lvl>
  </w:abstractNum>
  <w:abstractNum w:abstractNumId="1">
    <w:nsid w:val="1FCD2EE1"/>
    <w:multiLevelType w:val="multilevel"/>
    <w:tmpl w:val="1FCD2EE1"/>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573D275E"/>
    <w:multiLevelType w:val="singleLevel"/>
    <w:tmpl w:val="573D275E"/>
    <w:lvl w:ilvl="0" w:tentative="0">
      <w:start w:val="1"/>
      <w:numFmt w:val="chineseCounting"/>
      <w:suff w:val="nothing"/>
      <w:lvlText w:val="%1、"/>
      <w:lvlJc w:val="left"/>
      <w:rPr>
        <w:rFonts w:cs="Times New Roman"/>
      </w:rPr>
    </w:lvl>
  </w:abstractNum>
  <w:abstractNum w:abstractNumId="3">
    <w:nsid w:val="5761810D"/>
    <w:multiLevelType w:val="singleLevel"/>
    <w:tmpl w:val="5761810D"/>
    <w:lvl w:ilvl="0" w:tentative="0">
      <w:start w:val="4"/>
      <w:numFmt w:val="chineseCounting"/>
      <w:suff w:val="nothing"/>
      <w:lvlText w:val="%1、"/>
      <w:lvlJc w:val="left"/>
      <w:rPr>
        <w:rFonts w:cs="Times New Roman"/>
      </w:rPr>
    </w:lvl>
  </w:abstractNum>
  <w:abstractNum w:abstractNumId="4">
    <w:nsid w:val="57618586"/>
    <w:multiLevelType w:val="singleLevel"/>
    <w:tmpl w:val="57618586"/>
    <w:lvl w:ilvl="0" w:tentative="0">
      <w:start w:val="1"/>
      <w:numFmt w:val="decimal"/>
      <w:lvlText w:val="%1."/>
      <w:lvlJc w:val="left"/>
      <w:pPr>
        <w:tabs>
          <w:tab w:val="left" w:pos="425"/>
        </w:tabs>
        <w:ind w:left="425" w:hanging="425"/>
      </w:pPr>
      <w:rPr>
        <w:rFonts w:hint="default" w:cs="Times New Roman"/>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NiOGIxNTIwNTI1ZTY3MDFiYjA3Y2RiOWM0MTY3OGUifQ=="/>
  </w:docVars>
  <w:rsids>
    <w:rsidRoot w:val="00291756"/>
    <w:rsid w:val="000D479A"/>
    <w:rsid w:val="000E481D"/>
    <w:rsid w:val="00291756"/>
    <w:rsid w:val="003A45D8"/>
    <w:rsid w:val="00447674"/>
    <w:rsid w:val="004934ED"/>
    <w:rsid w:val="005B6824"/>
    <w:rsid w:val="005C17A9"/>
    <w:rsid w:val="00646CEC"/>
    <w:rsid w:val="00704728"/>
    <w:rsid w:val="00751B66"/>
    <w:rsid w:val="00872576"/>
    <w:rsid w:val="00926940"/>
    <w:rsid w:val="00AB4285"/>
    <w:rsid w:val="00AB7BF3"/>
    <w:rsid w:val="00AE5042"/>
    <w:rsid w:val="00B47510"/>
    <w:rsid w:val="00B706F3"/>
    <w:rsid w:val="00BB5B96"/>
    <w:rsid w:val="00C9250D"/>
    <w:rsid w:val="00EF0088"/>
    <w:rsid w:val="00F268DC"/>
    <w:rsid w:val="00FB5D1D"/>
    <w:rsid w:val="00FC2CBD"/>
    <w:rsid w:val="013D4754"/>
    <w:rsid w:val="02833042"/>
    <w:rsid w:val="029C0402"/>
    <w:rsid w:val="02D34D19"/>
    <w:rsid w:val="039545E5"/>
    <w:rsid w:val="05051224"/>
    <w:rsid w:val="063814A8"/>
    <w:rsid w:val="06413567"/>
    <w:rsid w:val="06544786"/>
    <w:rsid w:val="06A45639"/>
    <w:rsid w:val="07387A3B"/>
    <w:rsid w:val="08867CB1"/>
    <w:rsid w:val="08D86A39"/>
    <w:rsid w:val="097D0B97"/>
    <w:rsid w:val="09A70214"/>
    <w:rsid w:val="09BB79C6"/>
    <w:rsid w:val="0A682308"/>
    <w:rsid w:val="0ABD7D0D"/>
    <w:rsid w:val="130D3F5C"/>
    <w:rsid w:val="1372045C"/>
    <w:rsid w:val="13BE40E7"/>
    <w:rsid w:val="13E25638"/>
    <w:rsid w:val="151A2D1B"/>
    <w:rsid w:val="1731608D"/>
    <w:rsid w:val="182B6778"/>
    <w:rsid w:val="18913289"/>
    <w:rsid w:val="196855F2"/>
    <w:rsid w:val="1B051CD6"/>
    <w:rsid w:val="1B5D30BF"/>
    <w:rsid w:val="1C1B7F8D"/>
    <w:rsid w:val="1D5A6D57"/>
    <w:rsid w:val="1EBD77DC"/>
    <w:rsid w:val="1ED72536"/>
    <w:rsid w:val="1EEB2EBA"/>
    <w:rsid w:val="20056D50"/>
    <w:rsid w:val="20A72EB4"/>
    <w:rsid w:val="20B7224A"/>
    <w:rsid w:val="20D76438"/>
    <w:rsid w:val="2178473C"/>
    <w:rsid w:val="226436A5"/>
    <w:rsid w:val="24277482"/>
    <w:rsid w:val="24E33CDE"/>
    <w:rsid w:val="27907858"/>
    <w:rsid w:val="281D6521"/>
    <w:rsid w:val="282D604D"/>
    <w:rsid w:val="2A110BD3"/>
    <w:rsid w:val="2D6D07FF"/>
    <w:rsid w:val="2E5871F4"/>
    <w:rsid w:val="2F4E340B"/>
    <w:rsid w:val="313B521A"/>
    <w:rsid w:val="32BC757C"/>
    <w:rsid w:val="32D15A29"/>
    <w:rsid w:val="32E26B62"/>
    <w:rsid w:val="33271F5D"/>
    <w:rsid w:val="34386610"/>
    <w:rsid w:val="34851AA1"/>
    <w:rsid w:val="363445DA"/>
    <w:rsid w:val="38E13DF1"/>
    <w:rsid w:val="3A08425A"/>
    <w:rsid w:val="3A5262CC"/>
    <w:rsid w:val="3B580D30"/>
    <w:rsid w:val="3C590BFA"/>
    <w:rsid w:val="3CAB18F0"/>
    <w:rsid w:val="3D02368B"/>
    <w:rsid w:val="3D11653A"/>
    <w:rsid w:val="3DBD232D"/>
    <w:rsid w:val="3EC222FB"/>
    <w:rsid w:val="3EDB30C0"/>
    <w:rsid w:val="3F4A3F3F"/>
    <w:rsid w:val="3F722895"/>
    <w:rsid w:val="403B65CE"/>
    <w:rsid w:val="41796C54"/>
    <w:rsid w:val="42DA2CCC"/>
    <w:rsid w:val="4526249A"/>
    <w:rsid w:val="45E54513"/>
    <w:rsid w:val="4866495B"/>
    <w:rsid w:val="49962E34"/>
    <w:rsid w:val="4A350868"/>
    <w:rsid w:val="4A68122A"/>
    <w:rsid w:val="4B145421"/>
    <w:rsid w:val="4C0076A0"/>
    <w:rsid w:val="4DD42B7C"/>
    <w:rsid w:val="4FA431CA"/>
    <w:rsid w:val="508A4539"/>
    <w:rsid w:val="50A865CF"/>
    <w:rsid w:val="51726FDF"/>
    <w:rsid w:val="517E1DDC"/>
    <w:rsid w:val="51A27169"/>
    <w:rsid w:val="52571CDD"/>
    <w:rsid w:val="53473966"/>
    <w:rsid w:val="55477B4D"/>
    <w:rsid w:val="574E605A"/>
    <w:rsid w:val="57707807"/>
    <w:rsid w:val="578841E6"/>
    <w:rsid w:val="57962E30"/>
    <w:rsid w:val="59CC4C0D"/>
    <w:rsid w:val="5B292973"/>
    <w:rsid w:val="5C557855"/>
    <w:rsid w:val="5D1F2BC4"/>
    <w:rsid w:val="5DD10EB2"/>
    <w:rsid w:val="5EB03DAE"/>
    <w:rsid w:val="5F357AF9"/>
    <w:rsid w:val="60A27A9B"/>
    <w:rsid w:val="6209587D"/>
    <w:rsid w:val="62371EB7"/>
    <w:rsid w:val="63EF2220"/>
    <w:rsid w:val="66A567A7"/>
    <w:rsid w:val="67785515"/>
    <w:rsid w:val="67BA0F63"/>
    <w:rsid w:val="6A422469"/>
    <w:rsid w:val="6AA41333"/>
    <w:rsid w:val="6AA878D2"/>
    <w:rsid w:val="6C407C60"/>
    <w:rsid w:val="6CFF5D5A"/>
    <w:rsid w:val="6D3A7A06"/>
    <w:rsid w:val="6F4A2A5D"/>
    <w:rsid w:val="70AF1662"/>
    <w:rsid w:val="73F06FEC"/>
    <w:rsid w:val="750E0B1A"/>
    <w:rsid w:val="76261920"/>
    <w:rsid w:val="7861301D"/>
    <w:rsid w:val="795C1796"/>
    <w:rsid w:val="799D70BC"/>
    <w:rsid w:val="7A571A1B"/>
    <w:rsid w:val="7B4A6BCC"/>
    <w:rsid w:val="7DF27711"/>
    <w:rsid w:val="7DF83E5E"/>
    <w:rsid w:val="7E453C90"/>
    <w:rsid w:val="7EA25EB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Footer Char"/>
    <w:basedOn w:val="5"/>
    <w:link w:val="2"/>
    <w:qFormat/>
    <w:locked/>
    <w:uiPriority w:val="99"/>
    <w:rPr>
      <w:rFonts w:ascii="Calibri" w:hAnsi="Calibri"/>
      <w:kern w:val="2"/>
      <w:sz w:val="18"/>
    </w:rPr>
  </w:style>
  <w:style w:type="character" w:customStyle="1" w:styleId="7">
    <w:name w:val="Header Char"/>
    <w:basedOn w:val="5"/>
    <w:link w:val="3"/>
    <w:qFormat/>
    <w:locked/>
    <w:uiPriority w:val="99"/>
    <w:rPr>
      <w:rFonts w:ascii="Calibri" w:hAnsi="Calibri"/>
      <w:kern w:val="2"/>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3</Pages>
  <Words>1430</Words>
  <Characters>1538</Characters>
  <Lines>0</Lines>
  <Paragraphs>0</Paragraphs>
  <TotalTime>0</TotalTime>
  <ScaleCrop>false</ScaleCrop>
  <LinksUpToDate>false</LinksUpToDate>
  <CharactersWithSpaces>1653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ihome</dc:creator>
  <cp:lastModifiedBy>admin</cp:lastModifiedBy>
  <cp:lastPrinted>2018-01-20T03:04:00Z</cp:lastPrinted>
  <dcterms:modified xsi:type="dcterms:W3CDTF">2023-02-26T23:31:23Z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5965B21BA0044628B5194FD2F0F0A2AA</vt:lpwstr>
  </property>
</Properties>
</file>