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cs="宋体"/>
          <w:b/>
          <w:bCs/>
          <w:sz w:val="36"/>
          <w:szCs w:val="36"/>
          <w:lang w:val="en-US" w:eastAsia="zh-CN"/>
        </w:rPr>
        <w:t>天宁区老旧小区改造（工人新村第二社区）工程社区服务中心提升改造工程控制价</w:t>
      </w:r>
      <w:r>
        <w:rPr>
          <w:rFonts w:hint="eastAsia" w:ascii="宋体" w:hAnsi="宋体" w:eastAsia="宋体" w:cs="宋体"/>
          <w:b/>
          <w:bCs/>
          <w:sz w:val="36"/>
          <w:szCs w:val="36"/>
        </w:rPr>
        <w:t>编制说明</w:t>
      </w:r>
    </w:p>
    <w:p>
      <w:pPr>
        <w:numPr>
          <w:ilvl w:val="0"/>
          <w:numId w:val="1"/>
        </w:numPr>
        <w:autoSpaceDE w:val="0"/>
        <w:autoSpaceDN w:val="0"/>
        <w:adjustRightInd w:val="0"/>
        <w:spacing w:line="300" w:lineRule="auto"/>
        <w:rPr>
          <w:rFonts w:hint="eastAsia" w:ascii="宋体" w:hAnsi="宋体" w:eastAsia="宋体" w:cs="宋体"/>
          <w:b/>
          <w:bCs/>
          <w:sz w:val="30"/>
          <w:szCs w:val="30"/>
        </w:rPr>
      </w:pPr>
      <w:r>
        <w:rPr>
          <w:rFonts w:hint="eastAsia" w:ascii="宋体" w:hAnsi="宋体" w:eastAsia="宋体" w:cs="宋体"/>
          <w:b/>
          <w:bCs/>
          <w:sz w:val="30"/>
          <w:szCs w:val="30"/>
        </w:rPr>
        <w:t>工程概况</w:t>
      </w:r>
    </w:p>
    <w:p>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rPr>
        <w:t>本工程位于</w:t>
      </w:r>
      <w:r>
        <w:rPr>
          <w:rFonts w:hint="eastAsia" w:ascii="宋体" w:hAnsi="宋体" w:cs="宋体"/>
          <w:sz w:val="24"/>
          <w:lang w:val="en-US" w:eastAsia="zh-CN"/>
        </w:rPr>
        <w:t>常州市兰陵街道</w:t>
      </w:r>
      <w:r>
        <w:rPr>
          <w:rFonts w:hint="eastAsia" w:ascii="宋体" w:hAnsi="宋体" w:eastAsia="宋体" w:cs="宋体"/>
          <w:sz w:val="24"/>
        </w:rPr>
        <w:t>,工程名称</w:t>
      </w:r>
      <w:r>
        <w:rPr>
          <w:rFonts w:hint="eastAsia" w:ascii="宋体" w:hAnsi="宋体" w:cs="宋体"/>
          <w:sz w:val="24"/>
          <w:lang w:val="en-US" w:eastAsia="zh-CN"/>
        </w:rPr>
        <w:t>为</w:t>
      </w:r>
      <w:r>
        <w:rPr>
          <w:rFonts w:hint="eastAsia" w:ascii="宋体" w:hAnsi="宋体" w:eastAsia="宋体" w:cs="宋体"/>
          <w:sz w:val="24"/>
        </w:rPr>
        <w:t>天宁区老旧小区改造（工人新村第二社区）工程社区服务中心提升改造工程</w:t>
      </w:r>
      <w:r>
        <w:rPr>
          <w:rFonts w:hint="eastAsia" w:ascii="宋体" w:hAnsi="宋体" w:cs="宋体"/>
          <w:sz w:val="24"/>
          <w:lang w:eastAsia="zh-CN"/>
        </w:rPr>
        <w:t>，</w:t>
      </w:r>
      <w:r>
        <w:rPr>
          <w:rFonts w:hint="eastAsia" w:ascii="宋体" w:hAnsi="宋体" w:eastAsia="宋体" w:cs="宋体"/>
          <w:sz w:val="24"/>
        </w:rPr>
        <w:t>主要工作内容为</w:t>
      </w:r>
      <w:r>
        <w:rPr>
          <w:rFonts w:hint="eastAsia" w:ascii="宋体" w:hAnsi="宋体" w:eastAsia="宋体" w:cs="宋体"/>
          <w:sz w:val="24"/>
          <w:lang w:val="en-US" w:eastAsia="zh-CN"/>
        </w:rPr>
        <w:t>部分原始墙体</w:t>
      </w:r>
      <w:r>
        <w:rPr>
          <w:rFonts w:hint="eastAsia" w:ascii="宋体" w:hAnsi="宋体" w:cs="宋体"/>
          <w:sz w:val="24"/>
          <w:lang w:val="en-US" w:eastAsia="zh-CN"/>
        </w:rPr>
        <w:t>及装饰面层</w:t>
      </w:r>
      <w:r>
        <w:rPr>
          <w:rFonts w:hint="eastAsia" w:ascii="宋体" w:hAnsi="宋体" w:eastAsia="宋体" w:cs="宋体"/>
          <w:sz w:val="24"/>
          <w:lang w:val="en-US" w:eastAsia="zh-CN"/>
        </w:rPr>
        <w:t>的拆除、新增</w:t>
      </w:r>
      <w:r>
        <w:rPr>
          <w:rFonts w:hint="eastAsia" w:ascii="宋体" w:hAnsi="宋体" w:cs="宋体"/>
          <w:sz w:val="24"/>
          <w:lang w:val="en-US" w:eastAsia="zh-CN"/>
        </w:rPr>
        <w:t>石膏板吊顶、</w:t>
      </w:r>
      <w:r>
        <w:rPr>
          <w:rFonts w:hint="eastAsia" w:ascii="宋体" w:hAnsi="宋体" w:eastAsia="宋体" w:cs="宋体"/>
          <w:sz w:val="24"/>
          <w:lang w:val="en-US" w:eastAsia="zh-CN"/>
        </w:rPr>
        <w:t>石膏板隔墙、</w:t>
      </w:r>
      <w:r>
        <w:rPr>
          <w:rFonts w:hint="eastAsia" w:ascii="宋体" w:hAnsi="宋体" w:cs="宋体"/>
          <w:sz w:val="24"/>
          <w:lang w:val="en-US" w:eastAsia="zh-CN"/>
        </w:rPr>
        <w:t>玻璃隔断、</w:t>
      </w:r>
      <w:r>
        <w:rPr>
          <w:rFonts w:hint="eastAsia" w:ascii="宋体" w:hAnsi="宋体" w:eastAsia="宋体" w:cs="宋体"/>
          <w:sz w:val="24"/>
          <w:lang w:val="en-US" w:eastAsia="zh-CN"/>
        </w:rPr>
        <w:t>地胶及墙面装饰、</w:t>
      </w:r>
      <w:r>
        <w:rPr>
          <w:rFonts w:hint="eastAsia" w:ascii="宋体" w:hAnsi="宋体" w:eastAsia="宋体" w:cs="宋体"/>
          <w:sz w:val="24"/>
          <w:highlight w:val="none"/>
          <w:lang w:val="en-US" w:eastAsia="zh-CN"/>
        </w:rPr>
        <w:t>通照明、插座、弱电</w:t>
      </w:r>
      <w:r>
        <w:rPr>
          <w:rFonts w:hint="eastAsia" w:ascii="宋体" w:hAnsi="宋体" w:cs="宋体"/>
          <w:sz w:val="24"/>
          <w:highlight w:val="none"/>
          <w:lang w:val="en-US" w:eastAsia="zh-CN"/>
        </w:rPr>
        <w:t>智能化、给排水</w:t>
      </w:r>
      <w:r>
        <w:rPr>
          <w:rFonts w:hint="eastAsia" w:ascii="宋体" w:hAnsi="宋体" w:eastAsia="宋体" w:cs="宋体"/>
          <w:sz w:val="24"/>
          <w:highlight w:val="none"/>
          <w:lang w:val="en-US" w:eastAsia="zh-CN"/>
        </w:rPr>
        <w:t>系统</w:t>
      </w:r>
      <w:r>
        <w:rPr>
          <w:rFonts w:hint="eastAsia" w:ascii="宋体" w:hAnsi="宋体" w:eastAsia="宋体" w:cs="宋体"/>
          <w:sz w:val="24"/>
          <w:highlight w:val="none"/>
        </w:rPr>
        <w:t>。</w:t>
      </w:r>
      <w:bookmarkStart w:id="0" w:name="_GoBack"/>
      <w:bookmarkEnd w:id="0"/>
    </w:p>
    <w:p>
      <w:pPr>
        <w:numPr>
          <w:ilvl w:val="0"/>
          <w:numId w:val="1"/>
        </w:numPr>
        <w:autoSpaceDE w:val="0"/>
        <w:autoSpaceDN w:val="0"/>
        <w:adjustRightInd w:val="0"/>
        <w:spacing w:line="360" w:lineRule="auto"/>
        <w:rPr>
          <w:rFonts w:hint="eastAsia" w:ascii="宋体" w:hAnsi="宋体" w:eastAsia="宋体" w:cs="宋体"/>
          <w:b/>
          <w:bCs/>
          <w:sz w:val="30"/>
          <w:szCs w:val="30"/>
        </w:rPr>
      </w:pPr>
      <w:r>
        <w:rPr>
          <w:rFonts w:hint="eastAsia" w:ascii="宋体" w:hAnsi="宋体" w:eastAsia="宋体" w:cs="宋体"/>
          <w:b/>
          <w:bCs/>
          <w:sz w:val="30"/>
          <w:szCs w:val="30"/>
        </w:rPr>
        <w:t>编制范围</w:t>
      </w:r>
    </w:p>
    <w:p>
      <w:pPr>
        <w:autoSpaceDE w:val="0"/>
        <w:autoSpaceDN w:val="0"/>
        <w:adjustRightInd w:val="0"/>
        <w:spacing w:line="360" w:lineRule="auto"/>
        <w:ind w:firstLine="480" w:firstLineChars="200"/>
        <w:rPr>
          <w:rFonts w:hint="eastAsia" w:ascii="宋体" w:hAnsi="宋体" w:eastAsia="宋体" w:cs="宋体"/>
          <w:b/>
          <w:bCs/>
          <w:sz w:val="30"/>
          <w:szCs w:val="30"/>
        </w:rPr>
      </w:pPr>
      <w:r>
        <w:rPr>
          <w:rFonts w:hint="eastAsia" w:ascii="宋体" w:hAnsi="宋体" w:eastAsia="宋体" w:cs="宋体"/>
          <w:sz w:val="24"/>
        </w:rPr>
        <w:t>设计图纸范围内的装饰装修工程。</w:t>
      </w:r>
    </w:p>
    <w:p>
      <w:pPr>
        <w:numPr>
          <w:ilvl w:val="0"/>
          <w:numId w:val="1"/>
        </w:numPr>
        <w:autoSpaceDE w:val="0"/>
        <w:autoSpaceDN w:val="0"/>
        <w:adjustRightInd w:val="0"/>
        <w:spacing w:line="360" w:lineRule="auto"/>
        <w:rPr>
          <w:rFonts w:hint="eastAsia" w:ascii="宋体" w:hAnsi="宋体" w:eastAsia="宋体" w:cs="宋体"/>
          <w:b/>
          <w:bCs/>
          <w:sz w:val="30"/>
          <w:szCs w:val="30"/>
        </w:rPr>
      </w:pPr>
      <w:r>
        <w:rPr>
          <w:rFonts w:hint="eastAsia" w:ascii="宋体" w:hAnsi="宋体" w:eastAsia="宋体" w:cs="宋体"/>
          <w:b/>
          <w:bCs/>
          <w:sz w:val="30"/>
          <w:szCs w:val="30"/>
        </w:rPr>
        <w:t>编制依据</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《建设工程工程量清单计价规范》GB50500-2013;</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《房屋建筑与装饰工程工程量计算规范》GB50854-2013;</w:t>
      </w:r>
    </w:p>
    <w:p>
      <w:pPr>
        <w:numPr>
          <w:ilvl w:val="0"/>
          <w:numId w:val="2"/>
        </w:numPr>
        <w:autoSpaceDE w:val="0"/>
        <w:autoSpaceDN w:val="0"/>
        <w:adjustRightInd w:val="0"/>
        <w:spacing w:line="500" w:lineRule="exact"/>
        <w:jc w:val="left"/>
        <w:rPr>
          <w:rFonts w:hint="eastAsia" w:ascii="宋体" w:hAnsi="宋体" w:eastAsia="宋体" w:cs="宋体"/>
          <w:sz w:val="24"/>
        </w:rPr>
      </w:pPr>
      <w:r>
        <w:rPr>
          <w:rFonts w:hint="eastAsia" w:ascii="宋体" w:hAnsi="宋体" w:eastAsia="宋体" w:cs="宋体"/>
          <w:sz w:val="24"/>
        </w:rPr>
        <w:t>《通用安装工程工程量计算规范》GB50856-2013;</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2014版《江苏省建筑与装饰工程计价定额》、《江苏省安装工程计价定额》及2014年《江苏省建设工程费用定额》;</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人工费执行苏建函价（20</w:t>
      </w:r>
      <w:r>
        <w:rPr>
          <w:rFonts w:hint="eastAsia" w:ascii="宋体" w:hAnsi="宋体" w:eastAsia="宋体" w:cs="宋体"/>
          <w:sz w:val="24"/>
          <w:lang w:val="en-US" w:eastAsia="zh-CN"/>
        </w:rPr>
        <w:t>2</w:t>
      </w:r>
      <w:r>
        <w:rPr>
          <w:rFonts w:hint="eastAsia" w:ascii="宋体" w:hAnsi="宋体" w:cs="宋体"/>
          <w:sz w:val="24"/>
          <w:lang w:val="en-US" w:eastAsia="zh-CN"/>
        </w:rPr>
        <w:t>3</w:t>
      </w:r>
      <w:r>
        <w:rPr>
          <w:rFonts w:hint="eastAsia" w:ascii="宋体" w:hAnsi="宋体" w:eastAsia="宋体" w:cs="宋体"/>
          <w:sz w:val="24"/>
        </w:rPr>
        <w:t>）</w:t>
      </w:r>
      <w:r>
        <w:rPr>
          <w:rFonts w:hint="eastAsia" w:ascii="宋体" w:hAnsi="宋体" w:eastAsia="宋体" w:cs="宋体"/>
          <w:sz w:val="24"/>
          <w:lang w:val="en-US" w:eastAsia="zh-CN"/>
        </w:rPr>
        <w:t>6</w:t>
      </w:r>
      <w:r>
        <w:rPr>
          <w:rFonts w:hint="eastAsia" w:ascii="宋体" w:hAnsi="宋体" w:cs="宋体"/>
          <w:sz w:val="24"/>
          <w:lang w:val="en-US" w:eastAsia="zh-CN"/>
        </w:rPr>
        <w:t>3</w:t>
      </w:r>
      <w:r>
        <w:rPr>
          <w:rFonts w:hint="eastAsia" w:ascii="宋体" w:hAnsi="宋体" w:eastAsia="宋体" w:cs="宋体"/>
          <w:sz w:val="24"/>
        </w:rPr>
        <w:t>号《省住房城乡建设厅关于发布建设工程人工工资指导价的通知》;</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税费执行苏建</w:t>
      </w:r>
      <w:r>
        <w:rPr>
          <w:rFonts w:hint="eastAsia" w:ascii="宋体" w:hAnsi="宋体" w:eastAsia="宋体" w:cs="宋体"/>
          <w:sz w:val="24"/>
          <w:lang w:val="en-US" w:eastAsia="zh-CN"/>
        </w:rPr>
        <w:t>函</w:t>
      </w:r>
      <w:r>
        <w:rPr>
          <w:rFonts w:hint="eastAsia" w:ascii="宋体" w:hAnsi="宋体" w:eastAsia="宋体" w:cs="宋体"/>
          <w:sz w:val="24"/>
        </w:rPr>
        <w:t>价（201</w:t>
      </w:r>
      <w:r>
        <w:rPr>
          <w:rFonts w:hint="eastAsia" w:ascii="宋体" w:hAnsi="宋体" w:eastAsia="宋体" w:cs="宋体"/>
          <w:sz w:val="24"/>
          <w:lang w:val="en-US" w:eastAsia="zh-CN"/>
        </w:rPr>
        <w:t>9</w:t>
      </w:r>
      <w:r>
        <w:rPr>
          <w:rFonts w:hint="eastAsia" w:ascii="宋体" w:hAnsi="宋体" w:eastAsia="宋体" w:cs="宋体"/>
          <w:sz w:val="24"/>
        </w:rPr>
        <w:t>）</w:t>
      </w:r>
      <w:r>
        <w:rPr>
          <w:rFonts w:hint="eastAsia" w:ascii="宋体" w:hAnsi="宋体" w:eastAsia="宋体" w:cs="宋体"/>
          <w:sz w:val="24"/>
          <w:lang w:val="en-US" w:eastAsia="zh-CN"/>
        </w:rPr>
        <w:t>178</w:t>
      </w:r>
      <w:r>
        <w:rPr>
          <w:rFonts w:hint="eastAsia" w:ascii="宋体" w:hAnsi="宋体" w:eastAsia="宋体" w:cs="宋体"/>
          <w:sz w:val="24"/>
        </w:rPr>
        <w:t>号《省住房城乡建设厅关于建筑业</w:t>
      </w:r>
      <w:r>
        <w:rPr>
          <w:rFonts w:hint="eastAsia" w:ascii="宋体" w:hAnsi="宋体" w:eastAsia="宋体" w:cs="宋体"/>
          <w:sz w:val="24"/>
          <w:lang w:val="en-US" w:eastAsia="zh-CN"/>
        </w:rPr>
        <w:t>增值税计价政策调整的通知</w:t>
      </w:r>
      <w:r>
        <w:rPr>
          <w:rFonts w:hint="eastAsia" w:ascii="宋体" w:hAnsi="宋体" w:eastAsia="宋体" w:cs="宋体"/>
          <w:sz w:val="24"/>
        </w:rPr>
        <w:t>》，根据文件要求，本清单按一般计税方法编制</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常建（2014）279号关于贯彻《建设工程工程量清单计价规范》（GB50500-2013)等国家标准和省2014年建筑与装饰、安装、市政等专业工程计价定额及费用定额的通知;</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常建（2016）94号关于转发《省住房城乡建设厅关于建筑业实施营改增后江苏省建设工程计价依据调整的通知》的通知;</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设计施工图;</w:t>
      </w:r>
    </w:p>
    <w:p>
      <w:pPr>
        <w:numPr>
          <w:ilvl w:val="0"/>
          <w:numId w:val="2"/>
        </w:numPr>
        <w:autoSpaceDE w:val="0"/>
        <w:autoSpaceDN w:val="0"/>
        <w:adjustRightInd w:val="0"/>
        <w:spacing w:line="360" w:lineRule="auto"/>
        <w:jc w:val="left"/>
        <w:rPr>
          <w:rFonts w:hint="eastAsia" w:ascii="宋体" w:hAnsi="宋体" w:eastAsia="宋体" w:cs="宋体"/>
          <w:sz w:val="24"/>
        </w:rPr>
      </w:pPr>
      <w:r>
        <w:rPr>
          <w:rFonts w:hint="eastAsia" w:ascii="宋体" w:hAnsi="宋体" w:eastAsia="宋体" w:cs="宋体"/>
          <w:sz w:val="24"/>
        </w:rPr>
        <w:t>工程材料价格按常州市工程造价信息20</w:t>
      </w:r>
      <w:r>
        <w:rPr>
          <w:rFonts w:hint="eastAsia" w:ascii="宋体" w:hAnsi="宋体" w:eastAsia="宋体" w:cs="宋体"/>
          <w:sz w:val="24"/>
          <w:lang w:val="en-US" w:eastAsia="zh-CN"/>
        </w:rPr>
        <w:t>2</w:t>
      </w:r>
      <w:r>
        <w:rPr>
          <w:rFonts w:hint="eastAsia" w:ascii="宋体" w:hAnsi="宋体" w:cs="宋体"/>
          <w:sz w:val="24"/>
          <w:lang w:val="en-US" w:eastAsia="zh-CN"/>
        </w:rPr>
        <w:t>3</w:t>
      </w:r>
      <w:r>
        <w:rPr>
          <w:rFonts w:hint="eastAsia" w:ascii="宋体" w:hAnsi="宋体" w:eastAsia="宋体" w:cs="宋体"/>
          <w:sz w:val="24"/>
        </w:rPr>
        <w:t>年</w:t>
      </w:r>
      <w:r>
        <w:rPr>
          <w:rFonts w:hint="eastAsia" w:ascii="宋体" w:hAnsi="宋体" w:cs="宋体"/>
          <w:sz w:val="24"/>
          <w:lang w:val="en-US" w:eastAsia="zh-CN"/>
        </w:rPr>
        <w:t>2</w:t>
      </w:r>
      <w:r>
        <w:rPr>
          <w:rFonts w:hint="eastAsia" w:ascii="宋体" w:hAnsi="宋体" w:eastAsia="宋体" w:cs="宋体"/>
          <w:sz w:val="24"/>
        </w:rPr>
        <w:t>月份信息价计入，未有的逐月前推，清单材料表中所列材料单价均为除税单价。</w:t>
      </w:r>
    </w:p>
    <w:p>
      <w:pPr>
        <w:numPr>
          <w:ilvl w:val="0"/>
          <w:numId w:val="3"/>
        </w:numPr>
        <w:autoSpaceDE w:val="0"/>
        <w:autoSpaceDN w:val="0"/>
        <w:adjustRightInd w:val="0"/>
        <w:spacing w:line="360" w:lineRule="auto"/>
        <w:jc w:val="left"/>
        <w:rPr>
          <w:rFonts w:hint="eastAsia" w:ascii="宋体" w:hAnsi="宋体" w:eastAsia="宋体" w:cs="宋体"/>
          <w:b/>
          <w:sz w:val="30"/>
          <w:szCs w:val="30"/>
        </w:rPr>
      </w:pPr>
      <w:r>
        <w:rPr>
          <w:rFonts w:hint="eastAsia" w:ascii="宋体" w:hAnsi="宋体" w:eastAsia="宋体" w:cs="宋体"/>
          <w:b/>
          <w:sz w:val="30"/>
          <w:szCs w:val="30"/>
        </w:rPr>
        <w:t>编制说明</w:t>
      </w:r>
    </w:p>
    <w:p>
      <w:pPr>
        <w:autoSpaceDE w:val="0"/>
        <w:autoSpaceDN w:val="0"/>
        <w:adjustRightInd w:val="0"/>
        <w:spacing w:line="360" w:lineRule="auto"/>
        <w:ind w:firstLine="562" w:firstLineChars="200"/>
        <w:jc w:val="left"/>
        <w:rPr>
          <w:rFonts w:hint="eastAsia" w:ascii="宋体" w:hAnsi="宋体" w:eastAsia="宋体" w:cs="宋体"/>
          <w:b/>
          <w:bCs w:val="0"/>
          <w:sz w:val="28"/>
          <w:szCs w:val="28"/>
        </w:rPr>
      </w:pPr>
      <w:r>
        <w:rPr>
          <w:rFonts w:hint="eastAsia" w:ascii="宋体" w:hAnsi="宋体" w:eastAsia="宋体" w:cs="宋体"/>
          <w:b/>
          <w:bCs w:val="0"/>
          <w:sz w:val="28"/>
          <w:szCs w:val="28"/>
        </w:rPr>
        <w:t>装饰工程</w:t>
      </w:r>
    </w:p>
    <w:p>
      <w:pPr>
        <w:numPr>
          <w:ilvl w:val="0"/>
          <w:numId w:val="4"/>
        </w:numPr>
        <w:spacing w:line="360" w:lineRule="auto"/>
        <w:rPr>
          <w:rFonts w:ascii="宋体" w:hAnsi="宋体" w:cs="宋体"/>
          <w:bCs/>
          <w:sz w:val="24"/>
        </w:rPr>
      </w:pPr>
      <w:r>
        <w:rPr>
          <w:rFonts w:hint="eastAsia" w:ascii="宋体" w:hAnsi="宋体" w:cs="宋体"/>
          <w:bCs/>
          <w:sz w:val="24"/>
        </w:rPr>
        <w:t>石膏板隔墙清单工程量按照吊顶底的单面石膏板垂直投影面积计算;轻钢龙骨等量由投标单位自行考虑；</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不锈钢：国产优质304不锈钢；</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所有角钢、型钢均为热镀锌钢材；</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所有板材环保标准不低于E0级；</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本工程拆除项目按项包干，施工单位根据自身情况综合考虑报价，结算时此价格不作调整；</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投标价含精保洁费用，施工单位根据自身情况综合考虑报价，结算时不另外增加费用；</w:t>
      </w:r>
    </w:p>
    <w:p>
      <w:pPr>
        <w:numPr>
          <w:ilvl w:val="0"/>
          <w:numId w:val="4"/>
        </w:numPr>
        <w:spacing w:line="360" w:lineRule="auto"/>
        <w:ind w:left="485" w:hanging="484" w:hangingChars="202"/>
        <w:rPr>
          <w:rFonts w:ascii="宋体" w:hAnsi="宋体" w:cs="宋体"/>
          <w:bCs/>
          <w:sz w:val="24"/>
        </w:rPr>
      </w:pPr>
      <w:r>
        <w:rPr>
          <w:rFonts w:hint="eastAsia" w:ascii="宋体" w:hAnsi="宋体" w:cs="宋体"/>
          <w:bCs/>
          <w:sz w:val="24"/>
        </w:rPr>
        <w:t>本工程所有有关颜色的材料，施工前需要经过甲方选样确认；</w:t>
      </w:r>
    </w:p>
    <w:p>
      <w:pPr>
        <w:numPr>
          <w:ilvl w:val="0"/>
          <w:numId w:val="4"/>
        </w:numPr>
        <w:spacing w:line="360" w:lineRule="auto"/>
        <w:ind w:left="485" w:hanging="484" w:hangingChars="202"/>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建设单位推荐的主要材料推荐品牌一览表</w:t>
      </w:r>
    </w:p>
    <w:tbl>
      <w:tblPr>
        <w:tblStyle w:val="4"/>
        <w:tblW w:w="8141" w:type="dxa"/>
        <w:jc w:val="center"/>
        <w:tblLayout w:type="fixed"/>
        <w:tblCellMar>
          <w:top w:w="0" w:type="dxa"/>
          <w:left w:w="108" w:type="dxa"/>
          <w:bottom w:w="0" w:type="dxa"/>
          <w:right w:w="108" w:type="dxa"/>
        </w:tblCellMar>
      </w:tblPr>
      <w:tblGrid>
        <w:gridCol w:w="736"/>
        <w:gridCol w:w="3331"/>
        <w:gridCol w:w="4074"/>
      </w:tblGrid>
      <w:tr>
        <w:tblPrEx>
          <w:tblCellMar>
            <w:top w:w="0" w:type="dxa"/>
            <w:left w:w="108" w:type="dxa"/>
            <w:bottom w:w="0" w:type="dxa"/>
            <w:right w:w="108" w:type="dxa"/>
          </w:tblCellMar>
        </w:tblPrEx>
        <w:trPr>
          <w:trHeight w:val="45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序号</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材料名称</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推荐品牌</w:t>
            </w:r>
          </w:p>
        </w:tc>
      </w:tr>
      <w:tr>
        <w:tblPrEx>
          <w:tblCellMar>
            <w:top w:w="0" w:type="dxa"/>
            <w:left w:w="108" w:type="dxa"/>
            <w:bottom w:w="0" w:type="dxa"/>
            <w:right w:w="108" w:type="dxa"/>
          </w:tblCellMar>
        </w:tblPrEx>
        <w:trPr>
          <w:trHeight w:val="225" w:hRule="atLeast"/>
          <w:jc w:val="center"/>
        </w:trPr>
        <w:tc>
          <w:tcPr>
            <w:tcW w:w="736" w:type="dxa"/>
            <w:tcBorders>
              <w:top w:val="nil"/>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1</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细木工板、实木多层、阻燃板</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兔宝宝、福庆、莫干山</w:t>
            </w:r>
          </w:p>
        </w:tc>
      </w:tr>
      <w:tr>
        <w:tblPrEx>
          <w:tblCellMar>
            <w:top w:w="0" w:type="dxa"/>
            <w:left w:w="108" w:type="dxa"/>
            <w:bottom w:w="0" w:type="dxa"/>
            <w:right w:w="108" w:type="dxa"/>
          </w:tblCellMar>
        </w:tblPrEx>
        <w:trPr>
          <w:trHeight w:val="225" w:hRule="atLeast"/>
          <w:jc w:val="center"/>
        </w:trPr>
        <w:tc>
          <w:tcPr>
            <w:tcW w:w="736" w:type="dxa"/>
            <w:tcBorders>
              <w:top w:val="nil"/>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2</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纸面石膏板</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龙牌、泰山、圣戈班</w:t>
            </w:r>
          </w:p>
        </w:tc>
      </w:tr>
      <w:tr>
        <w:tblPrEx>
          <w:tblCellMar>
            <w:top w:w="0" w:type="dxa"/>
            <w:left w:w="108" w:type="dxa"/>
            <w:bottom w:w="0" w:type="dxa"/>
            <w:right w:w="108" w:type="dxa"/>
          </w:tblCellMar>
        </w:tblPrEx>
        <w:trPr>
          <w:trHeight w:val="285"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3</w:t>
            </w:r>
          </w:p>
        </w:tc>
        <w:tc>
          <w:tcPr>
            <w:tcW w:w="3331"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轻钢龙骨</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鼎祥、龙牌、生泰</w:t>
            </w:r>
          </w:p>
        </w:tc>
      </w:tr>
      <w:tr>
        <w:tblPrEx>
          <w:tblCellMar>
            <w:top w:w="0" w:type="dxa"/>
            <w:left w:w="108" w:type="dxa"/>
            <w:bottom w:w="0" w:type="dxa"/>
            <w:right w:w="108" w:type="dxa"/>
          </w:tblCellMar>
        </w:tblPrEx>
        <w:trPr>
          <w:trHeight w:val="225"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4</w:t>
            </w:r>
          </w:p>
        </w:tc>
        <w:tc>
          <w:tcPr>
            <w:tcW w:w="3331" w:type="dxa"/>
            <w:tcBorders>
              <w:top w:val="single" w:color="auto" w:sz="4" w:space="0"/>
              <w:left w:val="single" w:color="auto" w:sz="4" w:space="0"/>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门窗五金件</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坚朗、春光、顶固</w:t>
            </w:r>
          </w:p>
        </w:tc>
      </w:tr>
      <w:tr>
        <w:tblPrEx>
          <w:tblCellMar>
            <w:top w:w="0" w:type="dxa"/>
            <w:left w:w="108" w:type="dxa"/>
            <w:bottom w:w="0" w:type="dxa"/>
            <w:right w:w="108" w:type="dxa"/>
          </w:tblCellMar>
        </w:tblPrEx>
        <w:trPr>
          <w:trHeight w:val="225"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bCs/>
                <w:sz w:val="24"/>
                <w:lang w:eastAsia="zh-CN"/>
              </w:rPr>
            </w:pPr>
            <w:r>
              <w:rPr>
                <w:rFonts w:hint="eastAsia" w:asciiTheme="majorEastAsia" w:hAnsiTheme="majorEastAsia" w:eastAsiaTheme="majorEastAsia" w:cstheme="majorEastAsia"/>
                <w:bCs/>
                <w:sz w:val="24"/>
                <w:lang w:val="en-US" w:eastAsia="zh-CN"/>
              </w:rPr>
              <w:t>5</w:t>
            </w:r>
          </w:p>
        </w:tc>
        <w:tc>
          <w:tcPr>
            <w:tcW w:w="3331" w:type="dxa"/>
            <w:tcBorders>
              <w:top w:val="single" w:color="auto" w:sz="4" w:space="0"/>
              <w:left w:val="single" w:color="auto" w:sz="4" w:space="0"/>
              <w:bottom w:val="single" w:color="auto" w:sz="4" w:space="0"/>
              <w:right w:val="single" w:color="000000" w:sz="4" w:space="0"/>
            </w:tcBorders>
            <w:vAlign w:val="center"/>
          </w:tcPr>
          <w:p>
            <w:pPr>
              <w:spacing w:line="360" w:lineRule="auto"/>
              <w:rPr>
                <w:rFonts w:hint="eastAsia"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墙地砖</w:t>
            </w:r>
          </w:p>
        </w:tc>
        <w:tc>
          <w:tcPr>
            <w:tcW w:w="4074" w:type="dxa"/>
            <w:tcBorders>
              <w:top w:val="single" w:color="auto" w:sz="4" w:space="0"/>
              <w:left w:val="nil"/>
              <w:bottom w:val="single" w:color="auto" w:sz="4" w:space="0"/>
              <w:right w:val="single" w:color="000000" w:sz="4" w:space="0"/>
            </w:tcBorders>
            <w:vAlign w:val="center"/>
          </w:tcPr>
          <w:p>
            <w:pPr>
              <w:spacing w:line="360" w:lineRule="auto"/>
              <w:rPr>
                <w:rFonts w:hint="eastAsia"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大将军、东鹏、</w:t>
            </w:r>
            <w:r>
              <w:rPr>
                <w:rFonts w:asciiTheme="majorEastAsia" w:hAnsiTheme="majorEastAsia" w:eastAsiaTheme="majorEastAsia" w:cstheme="majorEastAsia"/>
                <w:bCs/>
                <w:sz w:val="24"/>
              </w:rPr>
              <w:t>冠珠</w:t>
            </w:r>
          </w:p>
        </w:tc>
      </w:tr>
    </w:tbl>
    <w:p>
      <w:pPr>
        <w:spacing w:line="360" w:lineRule="auto"/>
        <w:ind w:left="-424" w:leftChars="-202" w:firstLine="480" w:firstLineChars="200"/>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投标单位可以选择推荐品牌，也可以选择性能不低于推荐品牌性能的其他品牌，但应在使用前向建设单位提交拟用品牌的型号、信誉度、质量、性能、技术指标等相关证明材料，并经建设单位认可后方可使用；</w:t>
      </w:r>
    </w:p>
    <w:p>
      <w:pPr>
        <w:numPr>
          <w:ilvl w:val="0"/>
          <w:numId w:val="0"/>
        </w:numPr>
        <w:spacing w:line="360" w:lineRule="auto"/>
        <w:rPr>
          <w:rFonts w:hint="eastAsia" w:asciiTheme="majorEastAsia" w:hAnsiTheme="majorEastAsia" w:eastAsiaTheme="majorEastAsia" w:cstheme="majorEastAsia"/>
          <w:bCs/>
          <w:sz w:val="24"/>
        </w:rPr>
      </w:pPr>
      <w:r>
        <w:rPr>
          <w:rFonts w:hint="eastAsia" w:asciiTheme="majorEastAsia" w:hAnsiTheme="majorEastAsia" w:eastAsiaTheme="majorEastAsia" w:cstheme="majorEastAsia"/>
          <w:bCs/>
          <w:sz w:val="24"/>
          <w:lang w:val="en-US" w:eastAsia="zh-CN"/>
        </w:rPr>
        <w:t>7.</w:t>
      </w:r>
      <w:r>
        <w:rPr>
          <w:rFonts w:hint="eastAsia" w:asciiTheme="majorEastAsia" w:hAnsiTheme="majorEastAsia" w:eastAsiaTheme="majorEastAsia" w:cstheme="majorEastAsia"/>
          <w:bCs/>
          <w:sz w:val="24"/>
        </w:rPr>
        <w:t>措施项目：安全文明施工基本费1.7%、</w:t>
      </w:r>
      <w:r>
        <w:rPr>
          <w:rFonts w:hint="eastAsia" w:asciiTheme="majorEastAsia" w:hAnsiTheme="majorEastAsia" w:eastAsiaTheme="majorEastAsia" w:cstheme="majorEastAsia"/>
          <w:bCs/>
          <w:sz w:val="24"/>
          <w:lang w:val="en-US" w:eastAsia="zh-CN"/>
        </w:rPr>
        <w:t>扬尘污染防治增加费0.22%、</w:t>
      </w:r>
      <w:r>
        <w:rPr>
          <w:rFonts w:hint="eastAsia" w:asciiTheme="majorEastAsia" w:hAnsiTheme="majorEastAsia" w:eastAsiaTheme="majorEastAsia" w:cstheme="majorEastAsia"/>
          <w:bCs/>
          <w:sz w:val="24"/>
        </w:rPr>
        <w:t>已完工程及设备保护0.1%、临时设施1%</w:t>
      </w:r>
      <w:r>
        <w:rPr>
          <w:rFonts w:hint="eastAsia" w:asciiTheme="majorEastAsia" w:hAnsiTheme="majorEastAsia" w:eastAsiaTheme="majorEastAsia" w:cstheme="majorEastAsia"/>
          <w:bCs/>
          <w:sz w:val="24"/>
          <w:lang w:eastAsia="zh-CN"/>
        </w:rPr>
        <w:t>、</w:t>
      </w:r>
      <w:r>
        <w:rPr>
          <w:rFonts w:hint="eastAsia" w:asciiTheme="majorEastAsia" w:hAnsiTheme="majorEastAsia" w:eastAsiaTheme="majorEastAsia" w:cstheme="majorEastAsia"/>
          <w:bCs/>
          <w:sz w:val="24"/>
          <w:lang w:val="en-US" w:eastAsia="zh-CN"/>
        </w:rPr>
        <w:t>建筑工人实名制费用0.03%、智慧工地0.06%、新冠疫情常态化防控0.3%</w:t>
      </w:r>
      <w:r>
        <w:rPr>
          <w:rFonts w:hint="eastAsia" w:asciiTheme="majorEastAsia" w:hAnsiTheme="majorEastAsia" w:eastAsiaTheme="majorEastAsia" w:cstheme="majorEastAsia"/>
          <w:bCs/>
          <w:sz w:val="24"/>
        </w:rPr>
        <w:t>;</w:t>
      </w:r>
    </w:p>
    <w:p>
      <w:pPr>
        <w:numPr>
          <w:ilvl w:val="0"/>
          <w:numId w:val="0"/>
        </w:numPr>
        <w:spacing w:line="360" w:lineRule="auto"/>
        <w:ind w:leftChars="0"/>
        <w:rPr>
          <w:rFonts w:hint="eastAsia" w:asciiTheme="majorEastAsia" w:hAnsiTheme="majorEastAsia" w:eastAsiaTheme="majorEastAsia" w:cstheme="majorEastAsia"/>
          <w:bCs/>
          <w:sz w:val="24"/>
        </w:rPr>
      </w:pPr>
      <w:r>
        <w:rPr>
          <w:rFonts w:hint="eastAsia" w:asciiTheme="majorEastAsia" w:hAnsiTheme="majorEastAsia" w:eastAsiaTheme="majorEastAsia" w:cstheme="majorEastAsia"/>
          <w:bCs/>
          <w:sz w:val="24"/>
          <w:lang w:val="en-US" w:eastAsia="zh-CN"/>
        </w:rPr>
        <w:t>8.</w:t>
      </w:r>
      <w:r>
        <w:rPr>
          <w:rFonts w:hint="eastAsia" w:asciiTheme="majorEastAsia" w:hAnsiTheme="majorEastAsia" w:eastAsiaTheme="majorEastAsia" w:cstheme="majorEastAsia"/>
          <w:bCs/>
          <w:sz w:val="24"/>
        </w:rPr>
        <w:t>规费、税金：社会保险费2.4%、住房公积金0.42%、税金</w:t>
      </w:r>
      <w:r>
        <w:rPr>
          <w:rFonts w:hint="eastAsia" w:asciiTheme="majorEastAsia" w:hAnsiTheme="majorEastAsia" w:eastAsiaTheme="majorEastAsia" w:cstheme="majorEastAsia"/>
          <w:bCs/>
          <w:sz w:val="24"/>
          <w:lang w:val="en-US" w:eastAsia="zh-CN"/>
        </w:rPr>
        <w:t>9</w:t>
      </w:r>
      <w:r>
        <w:rPr>
          <w:rFonts w:hint="eastAsia" w:asciiTheme="majorEastAsia" w:hAnsiTheme="majorEastAsia" w:eastAsiaTheme="majorEastAsia" w:cstheme="majorEastAsia"/>
          <w:bCs/>
          <w:sz w:val="24"/>
        </w:rPr>
        <w:t>%；</w:t>
      </w:r>
    </w:p>
    <w:p>
      <w:pPr>
        <w:numPr>
          <w:ilvl w:val="0"/>
          <w:numId w:val="0"/>
        </w:numPr>
        <w:spacing w:line="360" w:lineRule="auto"/>
        <w:ind w:leftChars="0"/>
        <w:rPr>
          <w:rFonts w:hint="eastAsia" w:asciiTheme="majorEastAsia" w:hAnsiTheme="majorEastAsia" w:eastAsiaTheme="majorEastAsia" w:cstheme="majorEastAsia"/>
          <w:bCs/>
          <w:sz w:val="24"/>
          <w:szCs w:val="24"/>
          <w:lang w:eastAsia="zh-CN"/>
        </w:rPr>
      </w:pPr>
      <w:r>
        <w:rPr>
          <w:rFonts w:hint="eastAsia" w:asciiTheme="majorEastAsia" w:hAnsiTheme="majorEastAsia" w:eastAsiaTheme="majorEastAsia" w:cstheme="majorEastAsia"/>
          <w:bCs/>
          <w:sz w:val="24"/>
          <w:szCs w:val="24"/>
          <w:lang w:val="en-US" w:eastAsia="zh-CN"/>
        </w:rPr>
        <w:t>9.</w:t>
      </w:r>
      <w:r>
        <w:rPr>
          <w:rFonts w:hint="eastAsia" w:asciiTheme="majorEastAsia" w:hAnsiTheme="majorEastAsia" w:eastAsiaTheme="majorEastAsia" w:cstheme="majorEastAsia"/>
          <w:bCs/>
          <w:sz w:val="24"/>
          <w:szCs w:val="24"/>
        </w:rPr>
        <w:t>其他详见清单;</w:t>
      </w:r>
    </w:p>
    <w:p>
      <w:pPr>
        <w:autoSpaceDE w:val="0"/>
        <w:autoSpaceDN w:val="0"/>
        <w:adjustRightInd w:val="0"/>
        <w:spacing w:line="360" w:lineRule="auto"/>
        <w:ind w:firstLine="562" w:firstLineChars="200"/>
        <w:jc w:val="left"/>
        <w:rPr>
          <w:rFonts w:hint="eastAsia" w:ascii="宋体" w:hAnsi="宋体" w:eastAsia="宋体" w:cs="宋体"/>
          <w:b/>
          <w:bCs w:val="0"/>
          <w:sz w:val="28"/>
          <w:szCs w:val="28"/>
        </w:rPr>
      </w:pPr>
      <w:r>
        <w:rPr>
          <w:rFonts w:hint="eastAsia" w:ascii="宋体" w:hAnsi="宋体" w:eastAsia="宋体" w:cs="宋体"/>
          <w:b/>
          <w:bCs w:val="0"/>
          <w:sz w:val="28"/>
          <w:szCs w:val="28"/>
          <w:lang w:eastAsia="zh-CN"/>
        </w:rPr>
        <w:t>安装</w:t>
      </w:r>
      <w:r>
        <w:rPr>
          <w:rFonts w:hint="eastAsia" w:ascii="宋体" w:hAnsi="宋体" w:eastAsia="宋体" w:cs="宋体"/>
          <w:b/>
          <w:bCs w:val="0"/>
          <w:sz w:val="28"/>
          <w:szCs w:val="28"/>
        </w:rPr>
        <w:t>工程</w:t>
      </w:r>
    </w:p>
    <w:p>
      <w:pPr>
        <w:spacing w:line="500" w:lineRule="exact"/>
        <w:rPr>
          <w:rFonts w:ascii="宋体" w:hAnsi="宋体" w:cs="宋体"/>
          <w:bCs/>
          <w:sz w:val="24"/>
        </w:rPr>
      </w:pPr>
      <w:r>
        <w:rPr>
          <w:rFonts w:hint="eastAsia" w:ascii="宋体" w:hAnsi="宋体" w:cs="宋体"/>
          <w:bCs/>
          <w:sz w:val="24"/>
        </w:rPr>
        <w:t>1、所有电气暗配管清单内，均包含开槽及修补，所有电气暗盒清单内，均包含开孔及修补，部分灯具定额中已包含线盒、金属软管和灯头线，相应清单子目项目特征不另作描述，相关费用包含在综合单价中；电气工程量按设计图纸计算。</w:t>
      </w:r>
    </w:p>
    <w:p>
      <w:pPr>
        <w:spacing w:line="500" w:lineRule="exact"/>
        <w:rPr>
          <w:rFonts w:ascii="宋体" w:hAnsi="宋体" w:cs="宋体"/>
          <w:bCs/>
          <w:sz w:val="24"/>
        </w:rPr>
      </w:pPr>
      <w:r>
        <w:rPr>
          <w:rFonts w:hint="eastAsia" w:ascii="宋体" w:hAnsi="宋体" w:cs="宋体"/>
          <w:bCs/>
          <w:sz w:val="24"/>
        </w:rPr>
        <w:t>2、弱电智能化系统：智能化系统调试费已包含在清单综合单价中，不额外列项。</w:t>
      </w:r>
    </w:p>
    <w:p>
      <w:pPr>
        <w:spacing w:line="500" w:lineRule="exact"/>
        <w:rPr>
          <w:rFonts w:ascii="宋体" w:hAnsi="宋体" w:cs="宋体"/>
          <w:bCs/>
          <w:sz w:val="24"/>
        </w:rPr>
      </w:pPr>
      <w:r>
        <w:rPr>
          <w:rFonts w:hint="eastAsia" w:ascii="宋体" w:hAnsi="宋体" w:cs="宋体"/>
          <w:bCs/>
          <w:sz w:val="24"/>
        </w:rPr>
        <w:t>3、给排水系统：清单项为暂估项，具体按竣工图计算；</w:t>
      </w:r>
    </w:p>
    <w:p>
      <w:pPr>
        <w:spacing w:line="500" w:lineRule="exact"/>
        <w:rPr>
          <w:rFonts w:ascii="宋体" w:hAnsi="宋体" w:cs="宋体"/>
          <w:bCs/>
          <w:sz w:val="24"/>
        </w:rPr>
      </w:pPr>
      <w:r>
        <w:rPr>
          <w:rFonts w:hint="eastAsia" w:ascii="宋体" w:hAnsi="宋体" w:cs="宋体"/>
          <w:bCs/>
          <w:sz w:val="24"/>
        </w:rPr>
        <w:t>4、总价措施项目清单中相关费率按计价规定计算，详见清单</w:t>
      </w:r>
    </w:p>
    <w:p>
      <w:pPr>
        <w:spacing w:line="500" w:lineRule="exact"/>
        <w:rPr>
          <w:rFonts w:ascii="宋体" w:hAnsi="宋体" w:cs="宋体"/>
          <w:bCs/>
          <w:sz w:val="24"/>
        </w:rPr>
      </w:pPr>
      <w:r>
        <w:rPr>
          <w:rFonts w:hint="eastAsia" w:ascii="宋体" w:hAnsi="宋体" w:cs="宋体"/>
          <w:bCs/>
          <w:sz w:val="24"/>
        </w:rPr>
        <w:t>5、规费及税金：各项规费税金费率按现行政策执行；</w:t>
      </w:r>
    </w:p>
    <w:p>
      <w:pPr>
        <w:spacing w:line="500" w:lineRule="exact"/>
        <w:rPr>
          <w:rFonts w:ascii="宋体" w:hAnsi="宋体" w:cs="宋体"/>
          <w:bCs/>
          <w:sz w:val="24"/>
        </w:rPr>
      </w:pPr>
      <w:r>
        <w:rPr>
          <w:rFonts w:hint="eastAsia" w:ascii="宋体" w:hAnsi="宋体" w:cs="宋体"/>
          <w:bCs/>
          <w:sz w:val="24"/>
        </w:rPr>
        <w:t xml:space="preserve">6、暂列金：详见其他项目清单；                    </w:t>
      </w:r>
    </w:p>
    <w:p>
      <w:pPr>
        <w:spacing w:line="500" w:lineRule="exact"/>
        <w:rPr>
          <w:rFonts w:ascii="宋体" w:hAnsi="宋体" w:cs="宋体"/>
          <w:bCs/>
          <w:sz w:val="24"/>
        </w:rPr>
      </w:pPr>
      <w:r>
        <w:rPr>
          <w:rFonts w:hint="eastAsia" w:ascii="宋体" w:hAnsi="宋体" w:cs="宋体"/>
          <w:bCs/>
          <w:sz w:val="24"/>
        </w:rPr>
        <w:t>11、招标人品牌及相关要求：详见下表</w:t>
      </w:r>
    </w:p>
    <w:tbl>
      <w:tblPr>
        <w:tblStyle w:val="4"/>
        <w:tblW w:w="9399" w:type="dxa"/>
        <w:jc w:val="center"/>
        <w:tblLayout w:type="fixed"/>
        <w:tblCellMar>
          <w:top w:w="0" w:type="dxa"/>
          <w:left w:w="108" w:type="dxa"/>
          <w:bottom w:w="0" w:type="dxa"/>
          <w:right w:w="108" w:type="dxa"/>
        </w:tblCellMar>
      </w:tblPr>
      <w:tblGrid>
        <w:gridCol w:w="763"/>
        <w:gridCol w:w="3507"/>
        <w:gridCol w:w="1544"/>
        <w:gridCol w:w="1448"/>
        <w:gridCol w:w="2137"/>
      </w:tblGrid>
      <w:tr>
        <w:tblPrEx>
          <w:tblCellMar>
            <w:top w:w="0" w:type="dxa"/>
            <w:left w:w="108" w:type="dxa"/>
            <w:bottom w:w="0" w:type="dxa"/>
            <w:right w:w="108" w:type="dxa"/>
          </w:tblCellMar>
        </w:tblPrEx>
        <w:trPr>
          <w:trHeight w:val="557" w:hRule="atLeast"/>
          <w:jc w:val="center"/>
        </w:trPr>
        <w:tc>
          <w:tcPr>
            <w:tcW w:w="763" w:type="dxa"/>
            <w:tcBorders>
              <w:top w:val="single" w:color="auto" w:sz="4" w:space="0"/>
              <w:left w:val="single" w:color="auto" w:sz="4" w:space="0"/>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序号</w:t>
            </w:r>
          </w:p>
        </w:tc>
        <w:tc>
          <w:tcPr>
            <w:tcW w:w="3507"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材料名称</w:t>
            </w:r>
          </w:p>
        </w:tc>
        <w:tc>
          <w:tcPr>
            <w:tcW w:w="1544"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品牌一</w:t>
            </w:r>
          </w:p>
        </w:tc>
        <w:tc>
          <w:tcPr>
            <w:tcW w:w="1448"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品牌二</w:t>
            </w:r>
          </w:p>
        </w:tc>
        <w:tc>
          <w:tcPr>
            <w:tcW w:w="2137" w:type="dxa"/>
            <w:tcBorders>
              <w:top w:val="single" w:color="auto" w:sz="4" w:space="0"/>
              <w:left w:val="nil"/>
              <w:bottom w:val="single" w:color="auto" w:sz="4" w:space="0"/>
              <w:right w:val="single" w:color="auto" w:sz="4" w:space="0"/>
            </w:tcBorders>
            <w:shd w:val="clear" w:color="FFFFFF" w:fill="FFFFFF"/>
            <w:noWrap/>
            <w:vAlign w:val="center"/>
          </w:tcPr>
          <w:p>
            <w:pPr>
              <w:spacing w:line="500" w:lineRule="exact"/>
              <w:rPr>
                <w:rFonts w:ascii="宋体" w:hAnsi="宋体" w:cs="宋体"/>
                <w:bCs/>
                <w:sz w:val="24"/>
              </w:rPr>
            </w:pPr>
            <w:r>
              <w:rPr>
                <w:rFonts w:hint="eastAsia" w:ascii="宋体" w:hAnsi="宋体" w:cs="宋体"/>
                <w:bCs/>
                <w:sz w:val="24"/>
              </w:rPr>
              <w:t>品牌三</w:t>
            </w:r>
          </w:p>
        </w:tc>
      </w:tr>
      <w:tr>
        <w:tblPrEx>
          <w:tblCellMar>
            <w:top w:w="0" w:type="dxa"/>
            <w:left w:w="108" w:type="dxa"/>
            <w:bottom w:w="0" w:type="dxa"/>
            <w:right w:w="108" w:type="dxa"/>
          </w:tblCellMar>
        </w:tblPrEx>
        <w:trPr>
          <w:trHeight w:val="436" w:hRule="atLeast"/>
          <w:jc w:val="center"/>
        </w:trPr>
        <w:tc>
          <w:tcPr>
            <w:tcW w:w="763" w:type="dxa"/>
            <w:tcBorders>
              <w:top w:val="nil"/>
              <w:left w:val="single" w:color="auto" w:sz="4" w:space="0"/>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1</w:t>
            </w:r>
          </w:p>
        </w:tc>
        <w:tc>
          <w:tcPr>
            <w:tcW w:w="350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灯具</w:t>
            </w:r>
          </w:p>
        </w:tc>
        <w:tc>
          <w:tcPr>
            <w:tcW w:w="1544"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雷士</w:t>
            </w:r>
          </w:p>
        </w:tc>
        <w:tc>
          <w:tcPr>
            <w:tcW w:w="1448"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英特曼</w:t>
            </w:r>
          </w:p>
        </w:tc>
        <w:tc>
          <w:tcPr>
            <w:tcW w:w="213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三雄极光</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2</w:t>
            </w:r>
          </w:p>
        </w:tc>
        <w:tc>
          <w:tcPr>
            <w:tcW w:w="350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电线电缆</w:t>
            </w:r>
          </w:p>
        </w:tc>
        <w:tc>
          <w:tcPr>
            <w:tcW w:w="1544"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上上</w:t>
            </w:r>
          </w:p>
        </w:tc>
        <w:tc>
          <w:tcPr>
            <w:tcW w:w="1448"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远东</w:t>
            </w:r>
          </w:p>
        </w:tc>
        <w:tc>
          <w:tcPr>
            <w:tcW w:w="2137" w:type="dxa"/>
            <w:tcBorders>
              <w:top w:val="nil"/>
              <w:left w:val="nil"/>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长风</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3</w:t>
            </w:r>
          </w:p>
        </w:tc>
        <w:tc>
          <w:tcPr>
            <w:tcW w:w="350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开关插座</w:t>
            </w:r>
          </w:p>
        </w:tc>
        <w:tc>
          <w:tcPr>
            <w:tcW w:w="1544"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西蒙</w:t>
            </w:r>
          </w:p>
        </w:tc>
        <w:tc>
          <w:tcPr>
            <w:tcW w:w="1448"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正泰</w:t>
            </w:r>
          </w:p>
        </w:tc>
        <w:tc>
          <w:tcPr>
            <w:tcW w:w="213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施耐德</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4</w:t>
            </w:r>
          </w:p>
        </w:tc>
        <w:tc>
          <w:tcPr>
            <w:tcW w:w="350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 xml:space="preserve">卫生洁具 </w:t>
            </w:r>
          </w:p>
        </w:tc>
        <w:tc>
          <w:tcPr>
            <w:tcW w:w="1544"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TOTO</w:t>
            </w:r>
          </w:p>
        </w:tc>
        <w:tc>
          <w:tcPr>
            <w:tcW w:w="1448"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科勒</w:t>
            </w:r>
          </w:p>
        </w:tc>
        <w:tc>
          <w:tcPr>
            <w:tcW w:w="213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杜拉维特</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5</w:t>
            </w:r>
          </w:p>
        </w:tc>
        <w:tc>
          <w:tcPr>
            <w:tcW w:w="350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监控、门禁</w:t>
            </w:r>
          </w:p>
        </w:tc>
        <w:tc>
          <w:tcPr>
            <w:tcW w:w="1544"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海康</w:t>
            </w:r>
          </w:p>
        </w:tc>
        <w:tc>
          <w:tcPr>
            <w:tcW w:w="1448"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宇视</w:t>
            </w:r>
          </w:p>
        </w:tc>
        <w:tc>
          <w:tcPr>
            <w:tcW w:w="2137" w:type="dxa"/>
            <w:tcBorders>
              <w:top w:val="nil"/>
              <w:left w:val="nil"/>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大华</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6</w:t>
            </w:r>
          </w:p>
        </w:tc>
        <w:tc>
          <w:tcPr>
            <w:tcW w:w="350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交换机、硬盘录像机</w:t>
            </w:r>
          </w:p>
        </w:tc>
        <w:tc>
          <w:tcPr>
            <w:tcW w:w="1544"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华为</w:t>
            </w:r>
          </w:p>
        </w:tc>
        <w:tc>
          <w:tcPr>
            <w:tcW w:w="1448"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H3C</w:t>
            </w:r>
          </w:p>
        </w:tc>
        <w:tc>
          <w:tcPr>
            <w:tcW w:w="213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锐捷</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7</w:t>
            </w:r>
          </w:p>
        </w:tc>
        <w:tc>
          <w:tcPr>
            <w:tcW w:w="350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水龙头</w:t>
            </w:r>
          </w:p>
        </w:tc>
        <w:tc>
          <w:tcPr>
            <w:tcW w:w="1544"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箭牌</w:t>
            </w:r>
          </w:p>
        </w:tc>
        <w:tc>
          <w:tcPr>
            <w:tcW w:w="1448"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华帝</w:t>
            </w:r>
          </w:p>
        </w:tc>
        <w:tc>
          <w:tcPr>
            <w:tcW w:w="213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四季沐歌</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nil"/>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8</w:t>
            </w:r>
          </w:p>
        </w:tc>
        <w:tc>
          <w:tcPr>
            <w:tcW w:w="350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弱电机柜</w:t>
            </w:r>
          </w:p>
        </w:tc>
        <w:tc>
          <w:tcPr>
            <w:tcW w:w="1544"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图腾</w:t>
            </w:r>
          </w:p>
        </w:tc>
        <w:tc>
          <w:tcPr>
            <w:tcW w:w="1448"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新宇宙</w:t>
            </w:r>
          </w:p>
        </w:tc>
        <w:tc>
          <w:tcPr>
            <w:tcW w:w="2137" w:type="dxa"/>
            <w:tcBorders>
              <w:top w:val="nil"/>
              <w:left w:val="nil"/>
              <w:bottom w:val="nil"/>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神虎</w:t>
            </w:r>
          </w:p>
        </w:tc>
      </w:tr>
      <w:tr>
        <w:tblPrEx>
          <w:tblCellMar>
            <w:top w:w="0" w:type="dxa"/>
            <w:left w:w="108" w:type="dxa"/>
            <w:bottom w:w="0" w:type="dxa"/>
            <w:right w:w="108" w:type="dxa"/>
          </w:tblCellMar>
        </w:tblPrEx>
        <w:trPr>
          <w:trHeight w:val="373" w:hRule="atLeast"/>
          <w:jc w:val="center"/>
        </w:trPr>
        <w:tc>
          <w:tcPr>
            <w:tcW w:w="763" w:type="dxa"/>
            <w:tcBorders>
              <w:top w:val="nil"/>
              <w:left w:val="single" w:color="auto" w:sz="4" w:space="0"/>
              <w:bottom w:val="single" w:color="auto" w:sz="4" w:space="0"/>
              <w:right w:val="single" w:color="auto" w:sz="4" w:space="0"/>
            </w:tcBorders>
            <w:noWrap/>
            <w:vAlign w:val="center"/>
          </w:tcPr>
          <w:p>
            <w:pPr>
              <w:spacing w:line="500" w:lineRule="exact"/>
              <w:rPr>
                <w:rFonts w:ascii="宋体" w:hAnsi="宋体" w:cs="宋体"/>
                <w:bCs/>
                <w:sz w:val="24"/>
              </w:rPr>
            </w:pPr>
            <w:r>
              <w:rPr>
                <w:rFonts w:hint="eastAsia" w:ascii="宋体" w:hAnsi="宋体" w:cs="宋体"/>
                <w:bCs/>
                <w:sz w:val="24"/>
              </w:rPr>
              <w:t>9</w:t>
            </w:r>
          </w:p>
        </w:tc>
        <w:tc>
          <w:tcPr>
            <w:tcW w:w="3507"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弱电电源线、网线</w:t>
            </w:r>
          </w:p>
        </w:tc>
        <w:tc>
          <w:tcPr>
            <w:tcW w:w="1544"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红星</w:t>
            </w:r>
          </w:p>
        </w:tc>
        <w:tc>
          <w:tcPr>
            <w:tcW w:w="1448"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施展</w:t>
            </w:r>
          </w:p>
        </w:tc>
        <w:tc>
          <w:tcPr>
            <w:tcW w:w="2137" w:type="dxa"/>
            <w:tcBorders>
              <w:top w:val="nil"/>
              <w:left w:val="nil"/>
              <w:bottom w:val="single" w:color="auto" w:sz="4" w:space="0"/>
              <w:right w:val="single" w:color="auto" w:sz="4" w:space="0"/>
            </w:tcBorders>
            <w:noWrap/>
            <w:vAlign w:val="center"/>
          </w:tcPr>
          <w:p>
            <w:pPr>
              <w:spacing w:line="500" w:lineRule="exact"/>
              <w:rPr>
                <w:rFonts w:ascii="新宋体" w:hAnsi="新宋体" w:eastAsia="新宋体"/>
                <w:bCs/>
                <w:sz w:val="24"/>
              </w:rPr>
            </w:pPr>
            <w:r>
              <w:rPr>
                <w:rFonts w:hint="eastAsia" w:ascii="新宋体" w:hAnsi="新宋体" w:eastAsia="新宋体"/>
                <w:bCs/>
                <w:sz w:val="24"/>
              </w:rPr>
              <w:t>颂诚</w:t>
            </w:r>
          </w:p>
        </w:tc>
      </w:tr>
    </w:tbl>
    <w:p>
      <w:pPr>
        <w:autoSpaceDE w:val="0"/>
        <w:autoSpaceDN w:val="0"/>
        <w:adjustRightInd w:val="0"/>
        <w:snapToGrid w:val="0"/>
        <w:spacing w:line="460" w:lineRule="exact"/>
        <w:rPr>
          <w:rFonts w:ascii="宋体" w:hAnsi="宋体" w:cs="宋体"/>
          <w:bCs/>
          <w:sz w:val="24"/>
          <w:highlight w:val="yellow"/>
        </w:rPr>
      </w:pPr>
    </w:p>
    <w:p>
      <w:pPr>
        <w:autoSpaceDE w:val="0"/>
        <w:autoSpaceDN w:val="0"/>
        <w:adjustRightInd w:val="0"/>
        <w:snapToGrid w:val="0"/>
        <w:spacing w:line="460" w:lineRule="exact"/>
        <w:ind w:left="360" w:hanging="360" w:hangingChars="150"/>
        <w:rPr>
          <w:rFonts w:ascii="宋体" w:hAnsi="宋体" w:cs="宋体"/>
          <w:bCs/>
          <w:sz w:val="24"/>
          <w:highlight w:val="none"/>
        </w:rPr>
      </w:pPr>
      <w:r>
        <w:rPr>
          <w:rFonts w:hint="eastAsia" w:ascii="宋体" w:hAnsi="宋体" w:cs="宋体"/>
          <w:bCs/>
          <w:sz w:val="24"/>
          <w:highlight w:val="none"/>
        </w:rPr>
        <w:t xml:space="preserve">                                         江苏鑫洋建设项目管理有限公司</w:t>
      </w:r>
    </w:p>
    <w:p>
      <w:pPr>
        <w:autoSpaceDE w:val="0"/>
        <w:autoSpaceDN w:val="0"/>
        <w:adjustRightInd w:val="0"/>
        <w:snapToGrid w:val="0"/>
        <w:spacing w:line="460" w:lineRule="exact"/>
        <w:ind w:left="360" w:hanging="360" w:hangingChars="150"/>
        <w:rPr>
          <w:rFonts w:ascii="宋体" w:hAnsi="宋体" w:cs="宋体"/>
          <w:bCs/>
          <w:sz w:val="24"/>
          <w:highlight w:val="none"/>
        </w:rPr>
      </w:pPr>
      <w:r>
        <w:rPr>
          <w:rFonts w:hint="eastAsia" w:ascii="宋体" w:hAnsi="宋体" w:cs="宋体"/>
          <w:bCs/>
          <w:sz w:val="24"/>
          <w:highlight w:val="none"/>
        </w:rPr>
        <w:t xml:space="preserve">                                                     202</w:t>
      </w:r>
      <w:r>
        <w:rPr>
          <w:rFonts w:hint="eastAsia" w:ascii="宋体" w:hAnsi="宋体" w:cs="宋体"/>
          <w:bCs/>
          <w:sz w:val="24"/>
          <w:highlight w:val="none"/>
          <w:lang w:val="en-US" w:eastAsia="zh-CN"/>
        </w:rPr>
        <w:t>3</w:t>
      </w:r>
      <w:r>
        <w:rPr>
          <w:rFonts w:hint="eastAsia" w:ascii="宋体" w:hAnsi="宋体" w:cs="宋体"/>
          <w:bCs/>
          <w:sz w:val="24"/>
          <w:highlight w:val="none"/>
        </w:rPr>
        <w:t>年</w:t>
      </w:r>
      <w:r>
        <w:rPr>
          <w:rFonts w:hint="eastAsia" w:ascii="宋体" w:hAnsi="宋体" w:cs="宋体"/>
          <w:bCs/>
          <w:sz w:val="24"/>
          <w:highlight w:val="none"/>
          <w:lang w:val="en-US" w:eastAsia="zh-CN"/>
        </w:rPr>
        <w:t>2</w:t>
      </w:r>
      <w:r>
        <w:rPr>
          <w:rFonts w:hint="eastAsia" w:ascii="宋体" w:hAnsi="宋体" w:cs="宋体"/>
          <w:bCs/>
          <w:sz w:val="24"/>
          <w:highlight w:val="none"/>
        </w:rPr>
        <w:t>月</w:t>
      </w:r>
      <w:r>
        <w:rPr>
          <w:rFonts w:hint="eastAsia" w:ascii="宋体" w:hAnsi="宋体" w:cs="宋体"/>
          <w:bCs/>
          <w:sz w:val="24"/>
          <w:highlight w:val="none"/>
          <w:lang w:val="en-US" w:eastAsia="zh-CN"/>
        </w:rPr>
        <w:t>26</w:t>
      </w:r>
      <w:r>
        <w:rPr>
          <w:rFonts w:hint="eastAsia" w:ascii="宋体" w:hAnsi="宋体" w:cs="宋体"/>
          <w:bCs/>
          <w:sz w:val="24"/>
          <w:highlight w:val="none"/>
        </w:rPr>
        <w:t>日</w:t>
      </w:r>
    </w:p>
    <w:p>
      <w:pPr>
        <w:autoSpaceDE w:val="0"/>
        <w:autoSpaceDN w:val="0"/>
        <w:adjustRightInd w:val="0"/>
        <w:snapToGrid w:val="0"/>
        <w:spacing w:line="460" w:lineRule="exact"/>
        <w:ind w:left="360" w:hanging="360" w:hangingChars="150"/>
        <w:rPr>
          <w:rFonts w:hint="eastAsia" w:ascii="宋体" w:hAnsi="宋体" w:eastAsia="宋体" w:cs="宋体"/>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D2EE1"/>
    <w:multiLevelType w:val="multilevel"/>
    <w:tmpl w:val="1FCD2EE1"/>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573D275E"/>
    <w:multiLevelType w:val="singleLevel"/>
    <w:tmpl w:val="573D275E"/>
    <w:lvl w:ilvl="0" w:tentative="0">
      <w:start w:val="1"/>
      <w:numFmt w:val="chineseCounting"/>
      <w:suff w:val="nothing"/>
      <w:lvlText w:val="%1、"/>
      <w:lvlJc w:val="left"/>
      <w:rPr>
        <w:rFonts w:cs="Times New Roman"/>
      </w:rPr>
    </w:lvl>
  </w:abstractNum>
  <w:abstractNum w:abstractNumId="2">
    <w:nsid w:val="5761810D"/>
    <w:multiLevelType w:val="singleLevel"/>
    <w:tmpl w:val="5761810D"/>
    <w:lvl w:ilvl="0" w:tentative="0">
      <w:start w:val="4"/>
      <w:numFmt w:val="chineseCounting"/>
      <w:suff w:val="nothing"/>
      <w:lvlText w:val="%1、"/>
      <w:lvlJc w:val="left"/>
      <w:rPr>
        <w:rFonts w:cs="Times New Roman"/>
      </w:rPr>
    </w:lvl>
  </w:abstractNum>
  <w:abstractNum w:abstractNumId="3">
    <w:nsid w:val="57618586"/>
    <w:multiLevelType w:val="singleLevel"/>
    <w:tmpl w:val="57618586"/>
    <w:lvl w:ilvl="0" w:tentative="0">
      <w:start w:val="1"/>
      <w:numFmt w:val="decimal"/>
      <w:lvlText w:val="%1."/>
      <w:lvlJc w:val="left"/>
      <w:pPr>
        <w:tabs>
          <w:tab w:val="left" w:pos="425"/>
        </w:tabs>
        <w:ind w:left="425" w:hanging="425"/>
      </w:pPr>
      <w:rPr>
        <w:rFonts w:hint="default"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NiOGIxNTIwNTI1ZTY3MDFiYjA3Y2RiOWM0MTY3OGUifQ=="/>
  </w:docVars>
  <w:rsids>
    <w:rsidRoot w:val="00291756"/>
    <w:rsid w:val="000D479A"/>
    <w:rsid w:val="000E481D"/>
    <w:rsid w:val="00291756"/>
    <w:rsid w:val="003A45D8"/>
    <w:rsid w:val="00447674"/>
    <w:rsid w:val="004934ED"/>
    <w:rsid w:val="005B6824"/>
    <w:rsid w:val="005C17A9"/>
    <w:rsid w:val="00646CEC"/>
    <w:rsid w:val="00704728"/>
    <w:rsid w:val="00751B66"/>
    <w:rsid w:val="00872576"/>
    <w:rsid w:val="00926940"/>
    <w:rsid w:val="00AB4285"/>
    <w:rsid w:val="00AB7BF3"/>
    <w:rsid w:val="00AE5042"/>
    <w:rsid w:val="00B47510"/>
    <w:rsid w:val="00B706F3"/>
    <w:rsid w:val="00BB5B96"/>
    <w:rsid w:val="00C9250D"/>
    <w:rsid w:val="00EF0088"/>
    <w:rsid w:val="00F268DC"/>
    <w:rsid w:val="00FB5D1D"/>
    <w:rsid w:val="00FC2CBD"/>
    <w:rsid w:val="013D4754"/>
    <w:rsid w:val="02833042"/>
    <w:rsid w:val="029C0402"/>
    <w:rsid w:val="02D34D19"/>
    <w:rsid w:val="039545E5"/>
    <w:rsid w:val="05051224"/>
    <w:rsid w:val="063814A8"/>
    <w:rsid w:val="06413567"/>
    <w:rsid w:val="06544786"/>
    <w:rsid w:val="06A45639"/>
    <w:rsid w:val="07387A3B"/>
    <w:rsid w:val="08867CB1"/>
    <w:rsid w:val="08D86A39"/>
    <w:rsid w:val="097D0B97"/>
    <w:rsid w:val="09A70214"/>
    <w:rsid w:val="09BB79C6"/>
    <w:rsid w:val="0A682308"/>
    <w:rsid w:val="0ABD7D0D"/>
    <w:rsid w:val="0B8340C4"/>
    <w:rsid w:val="130D3F5C"/>
    <w:rsid w:val="1372045C"/>
    <w:rsid w:val="13BE40E7"/>
    <w:rsid w:val="13E25638"/>
    <w:rsid w:val="151A2D1B"/>
    <w:rsid w:val="1731608D"/>
    <w:rsid w:val="182B6778"/>
    <w:rsid w:val="196855F2"/>
    <w:rsid w:val="1B051CD6"/>
    <w:rsid w:val="1B5D30BF"/>
    <w:rsid w:val="1C1B7F8D"/>
    <w:rsid w:val="1D5A6D57"/>
    <w:rsid w:val="1EBD77DC"/>
    <w:rsid w:val="1ED72536"/>
    <w:rsid w:val="1EEB2EBA"/>
    <w:rsid w:val="20056D50"/>
    <w:rsid w:val="20A72EB4"/>
    <w:rsid w:val="20B7224A"/>
    <w:rsid w:val="20D76438"/>
    <w:rsid w:val="2178473C"/>
    <w:rsid w:val="226436A5"/>
    <w:rsid w:val="24277482"/>
    <w:rsid w:val="24E33CDE"/>
    <w:rsid w:val="27907858"/>
    <w:rsid w:val="281D6521"/>
    <w:rsid w:val="282D604D"/>
    <w:rsid w:val="2A110BD3"/>
    <w:rsid w:val="2D6D07FF"/>
    <w:rsid w:val="2E5871F4"/>
    <w:rsid w:val="2F4E340B"/>
    <w:rsid w:val="313B521A"/>
    <w:rsid w:val="32BC757C"/>
    <w:rsid w:val="32D15A29"/>
    <w:rsid w:val="32E26B62"/>
    <w:rsid w:val="33271F5D"/>
    <w:rsid w:val="34386610"/>
    <w:rsid w:val="34851AA1"/>
    <w:rsid w:val="3494063D"/>
    <w:rsid w:val="363445DA"/>
    <w:rsid w:val="38E13DF1"/>
    <w:rsid w:val="3A08425A"/>
    <w:rsid w:val="3A5262CC"/>
    <w:rsid w:val="3B580D30"/>
    <w:rsid w:val="3C590BFA"/>
    <w:rsid w:val="3CAB18F0"/>
    <w:rsid w:val="3D02368B"/>
    <w:rsid w:val="3D11653A"/>
    <w:rsid w:val="3DBD232D"/>
    <w:rsid w:val="3EC222FB"/>
    <w:rsid w:val="3EDB30C0"/>
    <w:rsid w:val="3F4A3F3F"/>
    <w:rsid w:val="3F722895"/>
    <w:rsid w:val="403B65CE"/>
    <w:rsid w:val="41796C54"/>
    <w:rsid w:val="42DA2CCC"/>
    <w:rsid w:val="4526249A"/>
    <w:rsid w:val="45E54513"/>
    <w:rsid w:val="4866495B"/>
    <w:rsid w:val="49962E34"/>
    <w:rsid w:val="4A350868"/>
    <w:rsid w:val="4A68122A"/>
    <w:rsid w:val="4B145421"/>
    <w:rsid w:val="4C0076A0"/>
    <w:rsid w:val="4DD42B7C"/>
    <w:rsid w:val="4FA431CA"/>
    <w:rsid w:val="508A4539"/>
    <w:rsid w:val="50A865CF"/>
    <w:rsid w:val="51726FDF"/>
    <w:rsid w:val="517E1DDC"/>
    <w:rsid w:val="51A27169"/>
    <w:rsid w:val="52571CDD"/>
    <w:rsid w:val="53473966"/>
    <w:rsid w:val="55477B4D"/>
    <w:rsid w:val="574E605A"/>
    <w:rsid w:val="57707807"/>
    <w:rsid w:val="578841E6"/>
    <w:rsid w:val="57962E30"/>
    <w:rsid w:val="59CC4C0D"/>
    <w:rsid w:val="5B292973"/>
    <w:rsid w:val="5C557855"/>
    <w:rsid w:val="5D1F2BC4"/>
    <w:rsid w:val="5DD10EB2"/>
    <w:rsid w:val="5EB03DAE"/>
    <w:rsid w:val="5F342F20"/>
    <w:rsid w:val="5F357AF9"/>
    <w:rsid w:val="60A27A9B"/>
    <w:rsid w:val="6209587D"/>
    <w:rsid w:val="62371EB7"/>
    <w:rsid w:val="63EF2220"/>
    <w:rsid w:val="67785515"/>
    <w:rsid w:val="67BA0F63"/>
    <w:rsid w:val="6A422469"/>
    <w:rsid w:val="6AA41333"/>
    <w:rsid w:val="6AA878D2"/>
    <w:rsid w:val="6C407C60"/>
    <w:rsid w:val="6CFF5D5A"/>
    <w:rsid w:val="6D3A7A06"/>
    <w:rsid w:val="6F4A2A5D"/>
    <w:rsid w:val="70AF1662"/>
    <w:rsid w:val="73F06FEC"/>
    <w:rsid w:val="750E0B1A"/>
    <w:rsid w:val="76261920"/>
    <w:rsid w:val="7861301D"/>
    <w:rsid w:val="795C1796"/>
    <w:rsid w:val="7A571A1B"/>
    <w:rsid w:val="7B4A6BCC"/>
    <w:rsid w:val="7DF27711"/>
    <w:rsid w:val="7DF83E5E"/>
    <w:rsid w:val="7E453C90"/>
    <w:rsid w:val="7EA25EB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Calibri" w:hAnsi="Calibri"/>
      <w:kern w:val="2"/>
      <w:sz w:val="18"/>
    </w:rPr>
  </w:style>
  <w:style w:type="character" w:customStyle="1" w:styleId="7">
    <w:name w:val="Header Char"/>
    <w:basedOn w:val="5"/>
    <w:link w:val="3"/>
    <w:qFormat/>
    <w:locked/>
    <w:uiPriority w:val="99"/>
    <w:rPr>
      <w:rFonts w:ascii="Calibri" w:hAnsi="Calibri"/>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3</Pages>
  <Words>1476</Words>
  <Characters>1601</Characters>
  <Lines>0</Lines>
  <Paragraphs>0</Paragraphs>
  <TotalTime>0</TotalTime>
  <ScaleCrop>false</ScaleCrop>
  <LinksUpToDate>false</LinksUpToDate>
  <CharactersWithSpaces>1716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ihome</dc:creator>
  <cp:lastModifiedBy>admin</cp:lastModifiedBy>
  <cp:lastPrinted>2018-01-20T03:04:00Z</cp:lastPrinted>
  <dcterms:modified xsi:type="dcterms:W3CDTF">2023-02-26T23:31:03Z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5965B21BA0044628B5194FD2F0F0A2AA</vt:lpwstr>
  </property>
</Properties>
</file>