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double" w:color="auto" w:sz="4" w:space="0"/>
        </w:pBdr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溧阳市经济开发区（上兴镇）派出所技术用房改造提升装修工程</w:t>
      </w:r>
    </w:p>
    <w:p>
      <w:pPr>
        <w:pBdr>
          <w:bottom w:val="double" w:color="auto" w:sz="4" w:space="0"/>
        </w:pBdr>
        <w:jc w:val="center"/>
        <w:rPr>
          <w:b/>
          <w:bCs/>
          <w:sz w:val="30"/>
          <w:szCs w:val="30"/>
          <w:u w:val="double"/>
        </w:rPr>
      </w:pPr>
      <w:r>
        <w:rPr>
          <w:rFonts w:hint="eastAsia" w:ascii="宋体" w:hAnsi="宋体" w:cs="宋体"/>
          <w:b/>
          <w:bCs/>
          <w:sz w:val="30"/>
          <w:szCs w:val="30"/>
        </w:rPr>
        <w:t>清单</w:t>
      </w:r>
      <w:r>
        <w:rPr>
          <w:rFonts w:hint="eastAsia"/>
          <w:b/>
          <w:bCs/>
          <w:sz w:val="30"/>
          <w:szCs w:val="30"/>
        </w:rPr>
        <w:t>编制说明</w:t>
      </w:r>
    </w:p>
    <w:p>
      <w:pPr>
        <w:numPr>
          <w:ilvl w:val="0"/>
          <w:numId w:val="1"/>
        </w:numPr>
        <w:spacing w:line="360" w:lineRule="auto"/>
        <w:ind w:firstLine="480"/>
        <w:jc w:val="left"/>
        <w:rPr>
          <w:sz w:val="24"/>
          <w:u w:val="double"/>
        </w:rPr>
      </w:pPr>
      <w:r>
        <w:rPr>
          <w:rFonts w:hint="eastAsia"/>
          <w:sz w:val="24"/>
        </w:rPr>
        <w:t>工程概况及编制范围：溧阳市经济开发区（上兴镇）派出所技术用房改造提升装修工程。</w:t>
      </w:r>
    </w:p>
    <w:p>
      <w:pPr>
        <w:numPr>
          <w:ilvl w:val="0"/>
          <w:numId w:val="1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工程量清单编制依据：建设单位提供的图纸、《房屋建筑与装饰工程工程量计算规范》（GB50854-2013）、《江苏省建筑与装饰工程计价定额》（2014版）、《江苏省建设工程费用定额》（2014年）及相关费用定额。</w:t>
      </w:r>
    </w:p>
    <w:p>
      <w:pPr>
        <w:numPr>
          <w:ilvl w:val="0"/>
          <w:numId w:val="1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材料信息价：</w:t>
      </w:r>
      <w:r>
        <w:rPr>
          <w:sz w:val="24"/>
          <w:highlight w:val="none"/>
        </w:rPr>
        <w:t>202</w:t>
      </w:r>
      <w:r>
        <w:rPr>
          <w:rFonts w:hint="eastAsia"/>
          <w:sz w:val="24"/>
          <w:highlight w:val="none"/>
        </w:rPr>
        <w:t>3</w:t>
      </w:r>
      <w:r>
        <w:rPr>
          <w:sz w:val="24"/>
          <w:highlight w:val="none"/>
        </w:rPr>
        <w:t>年</w:t>
      </w:r>
      <w:r>
        <w:rPr>
          <w:rFonts w:hint="eastAsia"/>
          <w:sz w:val="24"/>
          <w:highlight w:val="none"/>
          <w:lang w:val="en-US" w:eastAsia="zh-CN"/>
        </w:rPr>
        <w:t>5</w:t>
      </w:r>
      <w:r>
        <w:rPr>
          <w:sz w:val="24"/>
          <w:highlight w:val="none"/>
        </w:rPr>
        <w:t>月份《</w:t>
      </w:r>
      <w:r>
        <w:rPr>
          <w:sz w:val="24"/>
        </w:rPr>
        <w:t>常州市建筑工程材料指导价格》，缺项材料价由网络及人工询价；人工工资单价参照苏建函价〔202</w:t>
      </w:r>
      <w:r>
        <w:rPr>
          <w:rFonts w:hint="eastAsia"/>
          <w:sz w:val="24"/>
        </w:rPr>
        <w:t>3</w:t>
      </w:r>
      <w:r>
        <w:rPr>
          <w:sz w:val="24"/>
        </w:rPr>
        <w:t>〕6</w:t>
      </w:r>
      <w:r>
        <w:rPr>
          <w:rFonts w:hint="eastAsia"/>
          <w:sz w:val="24"/>
        </w:rPr>
        <w:t>3</w:t>
      </w:r>
      <w:r>
        <w:rPr>
          <w:sz w:val="24"/>
        </w:rPr>
        <w:t>号文执行。</w:t>
      </w:r>
    </w:p>
    <w:p>
      <w:pPr>
        <w:numPr>
          <w:ilvl w:val="0"/>
          <w:numId w:val="1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  <w:lang w:val="zh-CN"/>
        </w:rPr>
        <w:t>经与建设单位沟通确认，并结合工程实际情况，本预算按以下标准编制：</w:t>
      </w:r>
    </w:p>
    <w:p>
      <w:pPr>
        <w:numPr>
          <w:ilvl w:val="0"/>
          <w:numId w:val="2"/>
        </w:numPr>
        <w:spacing w:line="360" w:lineRule="auto"/>
        <w:ind w:left="0" w:firstLine="482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装饰部分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地面工程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瓷砖（石材）楼地面结合层参照主体土建做法表调整为“水泥浆一道（内掺建筑胶），20mm厚1:3干硬性水泥砂浆，表面撒水泥粉“</w:t>
      </w:r>
      <w:r>
        <w:rPr>
          <w:rFonts w:hint="eastAsia"/>
          <w:sz w:val="24"/>
        </w:rPr>
        <w:t>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首层更衣室地面图纸未标注面层材料，按800×800mm地砖（CT-05）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二层指导员办公室（包括等候区）、所长办公室（包括等候区）地面图纸未标注面层材料，按800×800mm地砖（CT-05）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三层机房地面图纸未标注面层材料，按800×800mm地砖（CT-05）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配电间地面图纸中未详细描述，按“PVC面层防静电地板，可调支架系统（200mm高）”做法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楼梯面层采用10mm厚防滑地砖，楼梯间采用150mm高同质地砖踢脚线。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瓷砖品牌采用诺贝尔、马可波罗、蒙娜丽莎。</w:t>
      </w:r>
    </w:p>
    <w:p>
      <w:pPr>
        <w:numPr>
          <w:ilvl w:val="0"/>
          <w:numId w:val="4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图纸中阴影部分图纸未设计，不在</w:t>
      </w:r>
      <w:r>
        <w:rPr>
          <w:sz w:val="24"/>
        </w:rPr>
        <w:t>装修范围内，未计入预算清单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天棚工程</w:t>
      </w:r>
    </w:p>
    <w:p>
      <w:pPr>
        <w:numPr>
          <w:ilvl w:val="0"/>
          <w:numId w:val="5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石膏板吊顶面层按单层9.5mm厚石膏板</w:t>
      </w:r>
      <w:r>
        <w:rPr>
          <w:rFonts w:hint="eastAsia"/>
          <w:sz w:val="24"/>
        </w:rPr>
        <w:t>计入清单</w:t>
      </w:r>
      <w:r>
        <w:rPr>
          <w:sz w:val="24"/>
        </w:rPr>
        <w:t>，四层餐包卫生间顶面面层按单层9.5mm防水石膏板</w:t>
      </w:r>
      <w:r>
        <w:rPr>
          <w:rFonts w:hint="eastAsia"/>
          <w:sz w:val="24"/>
        </w:rPr>
        <w:t>计入清单</w:t>
      </w:r>
    </w:p>
    <w:p>
      <w:pPr>
        <w:numPr>
          <w:ilvl w:val="0"/>
          <w:numId w:val="5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食堂铝方通吊顶平面系统图与节点大样图不符，按0.6mm厚40mm×100mm木色铝方通（AL-02），间距150mm考虑。</w:t>
      </w:r>
    </w:p>
    <w:p>
      <w:pPr>
        <w:numPr>
          <w:ilvl w:val="0"/>
          <w:numId w:val="5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图纸中阴影部分图纸未设计，不在</w:t>
      </w:r>
      <w:r>
        <w:rPr>
          <w:sz w:val="24"/>
        </w:rPr>
        <w:t>装修范围内，未计入预算清单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门窗工程</w:t>
      </w:r>
    </w:p>
    <w:p>
      <w:pPr>
        <w:numPr>
          <w:ilvl w:val="0"/>
          <w:numId w:val="6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新建主体工程的外门窗由土建单位施工，室内门（配电间防火门除外）由精装单位施工</w:t>
      </w:r>
      <w:r>
        <w:rPr>
          <w:rFonts w:hint="eastAsia"/>
          <w:sz w:val="24"/>
        </w:rPr>
        <w:t>。</w:t>
      </w:r>
    </w:p>
    <w:p>
      <w:pPr>
        <w:numPr>
          <w:ilvl w:val="0"/>
          <w:numId w:val="6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图纸中阴影部分图纸未设计，不在</w:t>
      </w:r>
      <w:r>
        <w:rPr>
          <w:sz w:val="24"/>
        </w:rPr>
        <w:t>装修范围内，未计入预算清单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墙面装饰工程</w:t>
      </w:r>
    </w:p>
    <w:p>
      <w:pPr>
        <w:numPr>
          <w:ilvl w:val="0"/>
          <w:numId w:val="7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新砌砌块墙体抹灰做法“刷界面剂一道，20mm厚DP M15预拌砂浆抹平，耐碱玻纤网格布一道”</w:t>
      </w:r>
      <w:r>
        <w:rPr>
          <w:rFonts w:hint="eastAsia"/>
          <w:sz w:val="24"/>
        </w:rPr>
        <w:t>。</w:t>
      </w:r>
    </w:p>
    <w:p>
      <w:pPr>
        <w:numPr>
          <w:ilvl w:val="0"/>
          <w:numId w:val="7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首层</w:t>
      </w:r>
      <w:r>
        <w:rPr>
          <w:rFonts w:hint="eastAsia"/>
          <w:sz w:val="24"/>
        </w:rPr>
        <w:t>主门厅</w:t>
      </w:r>
      <w:r>
        <w:rPr>
          <w:sz w:val="24"/>
        </w:rPr>
        <w:t>宣誓墙背面图纸未描述，按仿大理石墙面砖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7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二层指导员办公室无立面图，参照所长办公室，墙面按纤维板墙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7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三层机房墙面图纸未标注材质，按内墙涂料</w:t>
      </w:r>
      <w:r>
        <w:rPr>
          <w:rFonts w:hint="eastAsia"/>
          <w:sz w:val="24"/>
        </w:rPr>
        <w:t>计入清单。</w:t>
      </w:r>
    </w:p>
    <w:p>
      <w:pPr>
        <w:numPr>
          <w:ilvl w:val="0"/>
          <w:numId w:val="7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图纸中阴影部分图纸未设计，不在</w:t>
      </w:r>
      <w:r>
        <w:rPr>
          <w:sz w:val="24"/>
        </w:rPr>
        <w:t>装修范围内，未计入预算清单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其他装饰工程</w:t>
      </w:r>
    </w:p>
    <w:p>
      <w:pPr>
        <w:numPr>
          <w:ilvl w:val="0"/>
          <w:numId w:val="8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挑空大厅二楼玻璃栏杆大样图中成品不锈钢扶手</w:t>
      </w:r>
      <w:r>
        <w:rPr>
          <w:rFonts w:hint="eastAsia"/>
          <w:sz w:val="24"/>
        </w:rPr>
        <w:t>、钢化玻璃栏板</w:t>
      </w:r>
      <w:r>
        <w:rPr>
          <w:sz w:val="24"/>
        </w:rPr>
        <w:t>（P-49-S28）</w:t>
      </w:r>
      <w:r>
        <w:rPr>
          <w:rFonts w:hint="eastAsia"/>
          <w:sz w:val="24"/>
        </w:rPr>
        <w:t>由土建单位施工，不在装修预算编制范围内。</w:t>
      </w:r>
    </w:p>
    <w:p>
      <w:pPr>
        <w:numPr>
          <w:ilvl w:val="0"/>
          <w:numId w:val="8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本工程所有柜子、办公桌、床等家具均不在预算编制范围内</w:t>
      </w:r>
      <w:r>
        <w:rPr>
          <w:rFonts w:hint="eastAsia"/>
          <w:sz w:val="24"/>
        </w:rPr>
        <w:t>。</w:t>
      </w:r>
    </w:p>
    <w:p>
      <w:pPr>
        <w:numPr>
          <w:ilvl w:val="0"/>
          <w:numId w:val="8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本工程所有窗帘、罗马杆、装饰画、淋浴区布帘等软装物品不在预算编制范围内，卫生间纸盒及挂衣钩已编入预算清单，详见装饰清单项</w:t>
      </w:r>
      <w:r>
        <w:rPr>
          <w:rFonts w:hint="eastAsia"/>
          <w:sz w:val="24"/>
        </w:rPr>
        <w:t>。</w:t>
      </w:r>
    </w:p>
    <w:p>
      <w:pPr>
        <w:numPr>
          <w:ilvl w:val="0"/>
          <w:numId w:val="8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一层报案区、主门厅区域两处墙面的</w:t>
      </w:r>
      <w:r>
        <w:rPr>
          <w:rFonts w:hint="eastAsia"/>
          <w:sz w:val="24"/>
        </w:rPr>
        <w:t>“</w:t>
      </w:r>
      <w:r>
        <w:rPr>
          <w:sz w:val="24"/>
        </w:rPr>
        <w:t>警徽</w:t>
      </w:r>
      <w:r>
        <w:rPr>
          <w:rFonts w:hint="eastAsia"/>
          <w:sz w:val="24"/>
        </w:rPr>
        <w:t>”及“亚克力字体”不在预算编制范围内。</w:t>
      </w:r>
    </w:p>
    <w:p>
      <w:pPr>
        <w:numPr>
          <w:ilvl w:val="0"/>
          <w:numId w:val="8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图纸中阴影部分图纸未设计，不在</w:t>
      </w:r>
      <w:r>
        <w:rPr>
          <w:sz w:val="24"/>
        </w:rPr>
        <w:t>装修范围内，未计入预算清单</w:t>
      </w:r>
      <w:r>
        <w:rPr>
          <w:rFonts w:hint="eastAsia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装饰部分</w:t>
      </w:r>
      <w:r>
        <w:rPr>
          <w:sz w:val="24"/>
        </w:rPr>
        <w:t>其他说明</w:t>
      </w:r>
    </w:p>
    <w:p>
      <w:pPr>
        <w:numPr>
          <w:ilvl w:val="0"/>
          <w:numId w:val="9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本工程无地下室装修图纸，不在装修范围内，未计入预算清单中</w:t>
      </w:r>
      <w:r>
        <w:rPr>
          <w:rFonts w:hint="eastAsia"/>
          <w:sz w:val="24"/>
        </w:rPr>
        <w:t>。</w:t>
      </w:r>
    </w:p>
    <w:p>
      <w:pPr>
        <w:numPr>
          <w:ilvl w:val="0"/>
          <w:numId w:val="9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已建综合楼装饰改造</w:t>
      </w:r>
      <w:r>
        <w:rPr>
          <w:sz w:val="24"/>
        </w:rPr>
        <w:t>不在装修范围内，未计入预算清单中</w:t>
      </w:r>
      <w:r>
        <w:rPr>
          <w:rFonts w:hint="eastAsia"/>
          <w:sz w:val="24"/>
        </w:rPr>
        <w:t>。</w:t>
      </w:r>
    </w:p>
    <w:p>
      <w:pPr>
        <w:numPr>
          <w:ilvl w:val="0"/>
          <w:numId w:val="9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报案区屋面防水拆除重做，做法参照新建综合楼土建做法，2mm厚SBS防水涂膜改为2mm厚聚氨酯防水涂料。</w:t>
      </w:r>
    </w:p>
    <w:p>
      <w:pPr>
        <w:numPr>
          <w:ilvl w:val="0"/>
          <w:numId w:val="9"/>
        </w:num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>本工程所有单位工程计取10%的预留金，预留金=分部分项工程费（除税价）×10%</w:t>
      </w:r>
      <w:r>
        <w:rPr>
          <w:rFonts w:hint="eastAsia"/>
          <w:sz w:val="24"/>
        </w:rPr>
        <w:t>。</w:t>
      </w:r>
    </w:p>
    <w:p>
      <w:pPr>
        <w:numPr>
          <w:ilvl w:val="0"/>
          <w:numId w:val="9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垃圾清运考虑10KM运距。</w:t>
      </w:r>
    </w:p>
    <w:p>
      <w:pPr>
        <w:numPr>
          <w:ilvl w:val="0"/>
          <w:numId w:val="2"/>
        </w:numPr>
        <w:spacing w:line="360" w:lineRule="auto"/>
        <w:ind w:left="0" w:firstLine="482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安装部分</w:t>
      </w:r>
    </w:p>
    <w:p>
      <w:pPr>
        <w:numPr>
          <w:ilvl w:val="0"/>
          <w:numId w:val="10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洗衣区的洗衣池预算中按不锈钢材质考虑；</w:t>
      </w:r>
    </w:p>
    <w:p>
      <w:pPr>
        <w:numPr>
          <w:ilvl w:val="0"/>
          <w:numId w:val="10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弱电智能化系统不在本次预算编制范围；</w:t>
      </w:r>
    </w:p>
    <w:p>
      <w:pPr>
        <w:numPr>
          <w:ilvl w:val="0"/>
          <w:numId w:val="10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原土建水电中的给排水管道，仅布置部分主立管，其余主管及支管、卫生洁具应取消，由装修单位实施；</w:t>
      </w:r>
    </w:p>
    <w:p>
      <w:pPr>
        <w:numPr>
          <w:ilvl w:val="0"/>
          <w:numId w:val="10"/>
        </w:numPr>
        <w:spacing w:line="360" w:lineRule="auto"/>
        <w:ind w:firstLine="480"/>
        <w:jc w:val="left"/>
        <w:rPr>
          <w:sz w:val="24"/>
          <w:highlight w:val="none"/>
        </w:rPr>
      </w:pPr>
      <w:r>
        <w:rPr>
          <w:rFonts w:hint="eastAsia"/>
          <w:sz w:val="24"/>
        </w:rPr>
        <w:t>原土建水电中的开关插座、照明灯具及管线，仅布置楼梯间照明，其余开关插座、照明</w:t>
      </w:r>
      <w:r>
        <w:rPr>
          <w:rFonts w:hint="eastAsia"/>
          <w:sz w:val="24"/>
          <w:highlight w:val="none"/>
        </w:rPr>
        <w:t>灯具及管线应取消，由装修单位实施</w:t>
      </w:r>
      <w:r>
        <w:rPr>
          <w:rFonts w:hint="eastAsia"/>
          <w:sz w:val="24"/>
          <w:highlight w:val="none"/>
          <w:lang w:eastAsia="zh-CN"/>
        </w:rPr>
        <w:t>。</w:t>
      </w:r>
      <w:bookmarkStart w:id="0" w:name="_GoBack"/>
      <w:bookmarkEnd w:id="0"/>
    </w:p>
    <w:p>
      <w:pPr>
        <w:spacing w:line="360" w:lineRule="auto"/>
        <w:ind w:left="420" w:leftChars="200" w:firstLine="0" w:firstLineChars="0"/>
        <w:jc w:val="left"/>
        <w:rPr>
          <w:sz w:val="24"/>
          <w:highlight w:val="none"/>
        </w:rPr>
      </w:pPr>
    </w:p>
    <w:p>
      <w:pPr>
        <w:spacing w:line="360" w:lineRule="auto"/>
        <w:ind w:left="420" w:leftChars="200" w:firstLine="0" w:firstLineChars="0"/>
        <w:jc w:val="left"/>
        <w:rPr>
          <w:sz w:val="24"/>
        </w:rPr>
      </w:pPr>
    </w:p>
    <w:p>
      <w:pPr>
        <w:spacing w:line="360" w:lineRule="auto"/>
        <w:ind w:left="420" w:leftChars="200" w:firstLine="0" w:firstLineChars="0"/>
        <w:jc w:val="left"/>
        <w:rPr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ind w:firstLine="360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54C33"/>
    <w:multiLevelType w:val="singleLevel"/>
    <w:tmpl w:val="9CA54C3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A232C259"/>
    <w:multiLevelType w:val="singleLevel"/>
    <w:tmpl w:val="A232C25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FF57C17"/>
    <w:multiLevelType w:val="singleLevel"/>
    <w:tmpl w:val="BFF57C1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FB19915B"/>
    <w:multiLevelType w:val="singleLevel"/>
    <w:tmpl w:val="FB19915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1AE81817"/>
    <w:multiLevelType w:val="singleLevel"/>
    <w:tmpl w:val="1AE8181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4AC613AC"/>
    <w:multiLevelType w:val="singleLevel"/>
    <w:tmpl w:val="4AC613A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5AE6E6A9"/>
    <w:multiLevelType w:val="singleLevel"/>
    <w:tmpl w:val="5AE6E6A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7CAB0F8A"/>
    <w:multiLevelType w:val="singleLevel"/>
    <w:tmpl w:val="7CAB0F8A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7EB50627"/>
    <w:multiLevelType w:val="singleLevel"/>
    <w:tmpl w:val="7EB5062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>
    <w:nsid w:val="7EC3A383"/>
    <w:multiLevelType w:val="singleLevel"/>
    <w:tmpl w:val="7EC3A38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xYTc4YmU4ZjAxN2U5ZTAxOTkxMDg0ZjU5YzE5Y2YifQ=="/>
  </w:docVars>
  <w:rsids>
    <w:rsidRoot w:val="37C76A22"/>
    <w:rsid w:val="008315BE"/>
    <w:rsid w:val="00F213CB"/>
    <w:rsid w:val="02B652D2"/>
    <w:rsid w:val="05C432C0"/>
    <w:rsid w:val="0A777B1D"/>
    <w:rsid w:val="10243432"/>
    <w:rsid w:val="102A2DEF"/>
    <w:rsid w:val="11F139C4"/>
    <w:rsid w:val="13BD743A"/>
    <w:rsid w:val="15CF32F2"/>
    <w:rsid w:val="23EB7E46"/>
    <w:rsid w:val="2FE617AD"/>
    <w:rsid w:val="37C76A22"/>
    <w:rsid w:val="3DED32EB"/>
    <w:rsid w:val="45AF218F"/>
    <w:rsid w:val="480014D6"/>
    <w:rsid w:val="4BA94179"/>
    <w:rsid w:val="4D216819"/>
    <w:rsid w:val="4DC07038"/>
    <w:rsid w:val="50F444BC"/>
    <w:rsid w:val="51850F3F"/>
    <w:rsid w:val="54971920"/>
    <w:rsid w:val="55E303D9"/>
    <w:rsid w:val="5D105886"/>
    <w:rsid w:val="5E427CF7"/>
    <w:rsid w:val="680247D1"/>
    <w:rsid w:val="693F05C4"/>
    <w:rsid w:val="6A4D26B5"/>
    <w:rsid w:val="6E8E6130"/>
    <w:rsid w:val="7E286F13"/>
    <w:rsid w:val="7E4062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602" w:firstLineChars="200"/>
      <w:jc w:val="both"/>
    </w:pPr>
    <w:rPr>
      <w:rFonts w:eastAsia="仿宋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b/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outlineLvl w:val="2"/>
    </w:pPr>
    <w:rPr>
      <w:b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1407</Words>
  <Characters>1540</Characters>
  <Lines>1</Lines>
  <Paragraphs>3</Paragraphs>
  <TotalTime>0</TotalTime>
  <ScaleCrop>false</ScaleCrop>
  <LinksUpToDate>false</LinksUpToDate>
  <CharactersWithSpaces>1541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2022-08-03T18:33:00Z</dcterms:created>
  <dc:creator>孙晓峰。</dc:creator>
  <cp:lastModifiedBy>时苒</cp:lastModifiedBy>
  <dcterms:modified xsi:type="dcterms:W3CDTF">2023-06-02T10:14:23Z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F9DDDBAE429541B9BC1E94A9C0CB318B</vt:lpwstr>
  </property>
</Properties>
</file>