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b/>
          <w:sz w:val="30"/>
          <w:szCs w:val="30"/>
        </w:rPr>
        <w:t>常州机电学院智能制造产业服务平台项目展厅装修及水电安装工程编制说明</w:t>
      </w:r>
    </w:p>
    <w:p>
      <w:pPr>
        <w:rPr>
          <w:b/>
          <w:sz w:val="28"/>
          <w:szCs w:val="28"/>
        </w:rPr>
      </w:pPr>
      <w:r>
        <w:rPr>
          <w:rFonts w:hint="eastAsia"/>
          <w:b/>
          <w:sz w:val="28"/>
          <w:szCs w:val="28"/>
        </w:rPr>
        <w:t>一、工程概况</w:t>
      </w:r>
    </w:p>
    <w:p>
      <w:pPr>
        <w:rPr>
          <w:sz w:val="24"/>
          <w:szCs w:val="24"/>
        </w:rPr>
      </w:pPr>
      <w:r>
        <w:rPr>
          <w:rFonts w:hint="eastAsia"/>
          <w:sz w:val="28"/>
          <w:szCs w:val="28"/>
        </w:rPr>
        <w:t xml:space="preserve">   </w:t>
      </w:r>
      <w:r>
        <w:rPr>
          <w:rFonts w:hint="eastAsia"/>
          <w:sz w:val="24"/>
          <w:szCs w:val="24"/>
        </w:rPr>
        <w:t xml:space="preserve">  常州机电学院智能制造产业服务平台项目展厅装修及水电安装工程</w:t>
      </w:r>
      <w:r>
        <w:rPr>
          <w:sz w:val="24"/>
          <w:szCs w:val="24"/>
        </w:rPr>
        <w:t>。</w:t>
      </w:r>
    </w:p>
    <w:p>
      <w:pPr>
        <w:rPr>
          <w:sz w:val="24"/>
          <w:szCs w:val="24"/>
        </w:rPr>
      </w:pPr>
      <w:r>
        <w:rPr>
          <w:rFonts w:hint="eastAsia"/>
          <w:b/>
          <w:sz w:val="28"/>
          <w:szCs w:val="28"/>
        </w:rPr>
        <w:t>二、编制依据</w:t>
      </w:r>
    </w:p>
    <w:p>
      <w:pPr>
        <w:rPr>
          <w:sz w:val="24"/>
          <w:szCs w:val="24"/>
        </w:rPr>
      </w:pPr>
      <w:r>
        <w:rPr>
          <w:sz w:val="24"/>
          <w:szCs w:val="24"/>
        </w:rPr>
        <w:t>1、</w:t>
      </w:r>
      <w:r>
        <w:rPr>
          <w:rFonts w:hint="eastAsia"/>
          <w:sz w:val="24"/>
          <w:szCs w:val="24"/>
        </w:rPr>
        <w:t xml:space="preserve"> 常州市</w:t>
      </w:r>
      <w:r>
        <w:rPr>
          <w:sz w:val="24"/>
          <w:szCs w:val="24"/>
        </w:rPr>
        <w:t>杰</w:t>
      </w:r>
      <w:r>
        <w:rPr>
          <w:rFonts w:hint="eastAsia"/>
          <w:sz w:val="24"/>
          <w:szCs w:val="24"/>
        </w:rPr>
        <w:t>典环境艺术</w:t>
      </w:r>
      <w:r>
        <w:rPr>
          <w:sz w:val="24"/>
          <w:szCs w:val="24"/>
        </w:rPr>
        <w:t xml:space="preserve">设计有限公司设计的施工图。 </w:t>
      </w:r>
    </w:p>
    <w:p>
      <w:pPr>
        <w:ind w:left="480" w:hanging="480" w:hangingChars="200"/>
        <w:rPr>
          <w:sz w:val="24"/>
          <w:szCs w:val="24"/>
        </w:rPr>
      </w:pPr>
      <w:r>
        <w:rPr>
          <w:sz w:val="24"/>
          <w:szCs w:val="24"/>
        </w:rPr>
        <w:t>2、</w:t>
      </w:r>
      <w:r>
        <w:rPr>
          <w:rFonts w:hint="eastAsia"/>
          <w:sz w:val="24"/>
          <w:szCs w:val="24"/>
        </w:rPr>
        <w:t xml:space="preserve"> </w:t>
      </w:r>
      <w:r>
        <w:rPr>
          <w:sz w:val="24"/>
          <w:szCs w:val="24"/>
        </w:rPr>
        <w:t>中 华 人 民 共 和 国 住 房 和 城 乡 建 设 部 《 建 设 工 程 工 程 量 清 单 计 价 规 范 》 （GB50500-2013）</w:t>
      </w:r>
      <w:r>
        <w:rPr>
          <w:rFonts w:hint="eastAsia"/>
          <w:sz w:val="24"/>
          <w:szCs w:val="24"/>
        </w:rPr>
        <w:t>。</w:t>
      </w:r>
    </w:p>
    <w:p>
      <w:pPr>
        <w:ind w:left="240" w:hanging="240" w:hangingChars="100"/>
        <w:rPr>
          <w:sz w:val="24"/>
          <w:szCs w:val="24"/>
        </w:rPr>
      </w:pPr>
      <w:r>
        <w:rPr>
          <w:sz w:val="24"/>
          <w:szCs w:val="24"/>
        </w:rPr>
        <w:t>3、</w:t>
      </w:r>
      <w:r>
        <w:rPr>
          <w:rFonts w:hint="eastAsia"/>
          <w:sz w:val="24"/>
          <w:szCs w:val="24"/>
        </w:rPr>
        <w:t xml:space="preserve"> </w:t>
      </w:r>
      <w:r>
        <w:rPr>
          <w:sz w:val="24"/>
          <w:szCs w:val="24"/>
        </w:rPr>
        <w:t>《江苏省建筑与装饰工程计价定额》（2014 年）；《江苏省安装工程计价定额》（2014 年）；《江苏省建设工程费用定额》（2014 年）及营改增后调整内容等。</w:t>
      </w:r>
    </w:p>
    <w:tbl>
      <w:tblPr>
        <w:tblStyle w:val="5"/>
        <w:tblpPr w:leftFromText="180" w:rightFromText="180" w:vertAnchor="text" w:horzAnchor="page" w:tblpX="475" w:tblpY="309"/>
        <w:tblOverlap w:val="never"/>
        <w:tblW w:w="11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995"/>
        <w:gridCol w:w="991"/>
        <w:gridCol w:w="709"/>
        <w:gridCol w:w="907"/>
        <w:gridCol w:w="936"/>
        <w:gridCol w:w="709"/>
        <w:gridCol w:w="850"/>
        <w:gridCol w:w="709"/>
        <w:gridCol w:w="850"/>
        <w:gridCol w:w="851"/>
        <w:gridCol w:w="850"/>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1133" w:type="dxa"/>
            <w:vAlign w:val="center"/>
          </w:tcPr>
          <w:p>
            <w:pPr>
              <w:jc w:val="center"/>
              <w:rPr>
                <w:szCs w:val="21"/>
              </w:rPr>
            </w:pPr>
            <w:r>
              <w:rPr>
                <w:szCs w:val="21"/>
              </w:rPr>
              <w:t>工程名称</w:t>
            </w:r>
          </w:p>
        </w:tc>
        <w:tc>
          <w:tcPr>
            <w:tcW w:w="995" w:type="dxa"/>
            <w:vAlign w:val="center"/>
          </w:tcPr>
          <w:p>
            <w:pPr>
              <w:jc w:val="center"/>
              <w:rPr>
                <w:szCs w:val="21"/>
              </w:rPr>
            </w:pPr>
            <w:r>
              <w:rPr>
                <w:szCs w:val="21"/>
              </w:rPr>
              <w:t>安全文明施工基本费</w:t>
            </w:r>
          </w:p>
        </w:tc>
        <w:tc>
          <w:tcPr>
            <w:tcW w:w="991" w:type="dxa"/>
            <w:vAlign w:val="center"/>
          </w:tcPr>
          <w:p>
            <w:pPr>
              <w:jc w:val="center"/>
              <w:rPr>
                <w:szCs w:val="21"/>
              </w:rPr>
            </w:pPr>
            <w:r>
              <w:rPr>
                <w:szCs w:val="21"/>
              </w:rPr>
              <w:t>安全文明施工省级标化增加费:一星级</w:t>
            </w:r>
          </w:p>
        </w:tc>
        <w:tc>
          <w:tcPr>
            <w:tcW w:w="709" w:type="dxa"/>
            <w:vAlign w:val="center"/>
          </w:tcPr>
          <w:p>
            <w:pPr>
              <w:jc w:val="center"/>
              <w:rPr>
                <w:szCs w:val="21"/>
              </w:rPr>
            </w:pPr>
            <w:r>
              <w:rPr>
                <w:szCs w:val="21"/>
              </w:rPr>
              <w:t>扬尘污染 防治增加 费</w:t>
            </w:r>
          </w:p>
        </w:tc>
        <w:tc>
          <w:tcPr>
            <w:tcW w:w="907" w:type="dxa"/>
            <w:vAlign w:val="center"/>
          </w:tcPr>
          <w:p>
            <w:pPr>
              <w:jc w:val="center"/>
              <w:rPr>
                <w:szCs w:val="21"/>
              </w:rPr>
            </w:pPr>
            <w:r>
              <w:rPr>
                <w:szCs w:val="21"/>
              </w:rPr>
              <w:t>夜间 施工</w:t>
            </w:r>
          </w:p>
        </w:tc>
        <w:tc>
          <w:tcPr>
            <w:tcW w:w="936" w:type="dxa"/>
            <w:vAlign w:val="center"/>
          </w:tcPr>
          <w:p>
            <w:pPr>
              <w:jc w:val="center"/>
              <w:rPr>
                <w:szCs w:val="21"/>
              </w:rPr>
            </w:pPr>
            <w:r>
              <w:rPr>
                <w:szCs w:val="21"/>
              </w:rPr>
              <w:t>非夜间 施工照 明费</w:t>
            </w:r>
          </w:p>
        </w:tc>
        <w:tc>
          <w:tcPr>
            <w:tcW w:w="709" w:type="dxa"/>
            <w:vAlign w:val="center"/>
          </w:tcPr>
          <w:p>
            <w:pPr>
              <w:jc w:val="center"/>
              <w:rPr>
                <w:szCs w:val="21"/>
              </w:rPr>
            </w:pPr>
            <w:r>
              <w:rPr>
                <w:szCs w:val="21"/>
              </w:rPr>
              <w:t>冬雨 季施 工</w:t>
            </w:r>
          </w:p>
        </w:tc>
        <w:tc>
          <w:tcPr>
            <w:tcW w:w="850" w:type="dxa"/>
            <w:vAlign w:val="center"/>
          </w:tcPr>
          <w:p>
            <w:pPr>
              <w:jc w:val="center"/>
              <w:rPr>
                <w:szCs w:val="21"/>
              </w:rPr>
            </w:pPr>
            <w:r>
              <w:rPr>
                <w:szCs w:val="21"/>
              </w:rPr>
              <w:t>已完成 工程及 设备保 护</w:t>
            </w:r>
          </w:p>
        </w:tc>
        <w:tc>
          <w:tcPr>
            <w:tcW w:w="709" w:type="dxa"/>
            <w:vAlign w:val="center"/>
          </w:tcPr>
          <w:p>
            <w:pPr>
              <w:jc w:val="center"/>
              <w:rPr>
                <w:szCs w:val="21"/>
              </w:rPr>
            </w:pPr>
            <w:r>
              <w:rPr>
                <w:szCs w:val="21"/>
              </w:rPr>
              <w:t>临时 设施</w:t>
            </w:r>
          </w:p>
        </w:tc>
        <w:tc>
          <w:tcPr>
            <w:tcW w:w="850" w:type="dxa"/>
            <w:vAlign w:val="center"/>
          </w:tcPr>
          <w:p>
            <w:pPr>
              <w:jc w:val="center"/>
              <w:rPr>
                <w:szCs w:val="21"/>
              </w:rPr>
            </w:pPr>
            <w:r>
              <w:rPr>
                <w:szCs w:val="21"/>
              </w:rPr>
              <w:t>建筑工人实名制费用</w:t>
            </w:r>
          </w:p>
        </w:tc>
        <w:tc>
          <w:tcPr>
            <w:tcW w:w="851" w:type="dxa"/>
            <w:vAlign w:val="center"/>
          </w:tcPr>
          <w:p>
            <w:pPr>
              <w:jc w:val="center"/>
              <w:rPr>
                <w:szCs w:val="21"/>
              </w:rPr>
            </w:pPr>
            <w:r>
              <w:rPr>
                <w:szCs w:val="21"/>
              </w:rPr>
              <w:t>社会保障费</w:t>
            </w:r>
          </w:p>
        </w:tc>
        <w:tc>
          <w:tcPr>
            <w:tcW w:w="850" w:type="dxa"/>
            <w:vAlign w:val="center"/>
          </w:tcPr>
          <w:p>
            <w:pPr>
              <w:jc w:val="center"/>
              <w:rPr>
                <w:szCs w:val="21"/>
              </w:rPr>
            </w:pPr>
            <w:r>
              <w:rPr>
                <w:szCs w:val="21"/>
              </w:rPr>
              <w:t>公积金</w:t>
            </w:r>
          </w:p>
        </w:tc>
        <w:tc>
          <w:tcPr>
            <w:tcW w:w="709" w:type="dxa"/>
            <w:vAlign w:val="center"/>
          </w:tcPr>
          <w:p>
            <w:pPr>
              <w:jc w:val="center"/>
              <w:rPr>
                <w:szCs w:val="21"/>
              </w:rPr>
            </w:pPr>
            <w:r>
              <w:rPr>
                <w:szCs w:val="21"/>
              </w:rPr>
              <w:t>税金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33" w:type="dxa"/>
            <w:vAlign w:val="center"/>
          </w:tcPr>
          <w:p>
            <w:pPr>
              <w:jc w:val="center"/>
              <w:rPr>
                <w:szCs w:val="21"/>
              </w:rPr>
            </w:pPr>
            <w:r>
              <w:rPr>
                <w:szCs w:val="21"/>
              </w:rPr>
              <w:t>装饰工程</w:t>
            </w:r>
          </w:p>
        </w:tc>
        <w:tc>
          <w:tcPr>
            <w:tcW w:w="995" w:type="dxa"/>
            <w:vAlign w:val="center"/>
          </w:tcPr>
          <w:p>
            <w:pPr>
              <w:jc w:val="center"/>
              <w:rPr>
                <w:szCs w:val="21"/>
              </w:rPr>
            </w:pPr>
            <w:r>
              <w:rPr>
                <w:rFonts w:hint="eastAsia"/>
                <w:szCs w:val="21"/>
              </w:rPr>
              <w:t>1.7</w:t>
            </w:r>
          </w:p>
        </w:tc>
        <w:tc>
          <w:tcPr>
            <w:tcW w:w="991" w:type="dxa"/>
            <w:vAlign w:val="center"/>
          </w:tcPr>
          <w:p>
            <w:pPr>
              <w:jc w:val="center"/>
              <w:rPr>
                <w:szCs w:val="21"/>
              </w:rPr>
            </w:pPr>
            <w:r>
              <w:rPr>
                <w:rFonts w:hint="eastAsia"/>
                <w:szCs w:val="21"/>
              </w:rPr>
              <w:t>--</w:t>
            </w:r>
          </w:p>
        </w:tc>
        <w:tc>
          <w:tcPr>
            <w:tcW w:w="709" w:type="dxa"/>
            <w:vAlign w:val="center"/>
          </w:tcPr>
          <w:p>
            <w:pPr>
              <w:jc w:val="center"/>
              <w:rPr>
                <w:szCs w:val="21"/>
              </w:rPr>
            </w:pPr>
            <w:r>
              <w:rPr>
                <w:rFonts w:hint="eastAsia"/>
                <w:szCs w:val="21"/>
              </w:rPr>
              <w:t>0.22</w:t>
            </w:r>
          </w:p>
        </w:tc>
        <w:tc>
          <w:tcPr>
            <w:tcW w:w="907" w:type="dxa"/>
            <w:vAlign w:val="center"/>
          </w:tcPr>
          <w:p>
            <w:pPr>
              <w:jc w:val="center"/>
              <w:rPr>
                <w:szCs w:val="21"/>
              </w:rPr>
            </w:pPr>
            <w:r>
              <w:rPr>
                <w:rFonts w:hint="eastAsia"/>
                <w:szCs w:val="21"/>
              </w:rPr>
              <w:t>--</w:t>
            </w:r>
          </w:p>
        </w:tc>
        <w:tc>
          <w:tcPr>
            <w:tcW w:w="936" w:type="dxa"/>
            <w:vAlign w:val="center"/>
          </w:tcPr>
          <w:p>
            <w:pPr>
              <w:jc w:val="center"/>
              <w:rPr>
                <w:szCs w:val="21"/>
              </w:rPr>
            </w:pPr>
            <w:r>
              <w:rPr>
                <w:rFonts w:hint="eastAsia"/>
                <w:szCs w:val="21"/>
              </w:rPr>
              <w:t>--</w:t>
            </w:r>
          </w:p>
        </w:tc>
        <w:tc>
          <w:tcPr>
            <w:tcW w:w="709" w:type="dxa"/>
            <w:vAlign w:val="center"/>
          </w:tcPr>
          <w:p>
            <w:pPr>
              <w:jc w:val="center"/>
              <w:rPr>
                <w:szCs w:val="21"/>
              </w:rPr>
            </w:pPr>
            <w:r>
              <w:rPr>
                <w:rFonts w:hint="eastAsia"/>
                <w:szCs w:val="21"/>
              </w:rPr>
              <w:t>--</w:t>
            </w:r>
          </w:p>
        </w:tc>
        <w:tc>
          <w:tcPr>
            <w:tcW w:w="850" w:type="dxa"/>
            <w:vAlign w:val="center"/>
          </w:tcPr>
          <w:p>
            <w:pPr>
              <w:jc w:val="center"/>
              <w:rPr>
                <w:szCs w:val="21"/>
              </w:rPr>
            </w:pPr>
            <w:r>
              <w:rPr>
                <w:rFonts w:hint="eastAsia"/>
                <w:szCs w:val="21"/>
              </w:rPr>
              <w:t>0.1</w:t>
            </w:r>
          </w:p>
        </w:tc>
        <w:tc>
          <w:tcPr>
            <w:tcW w:w="709" w:type="dxa"/>
            <w:vAlign w:val="center"/>
          </w:tcPr>
          <w:p>
            <w:pPr>
              <w:jc w:val="center"/>
              <w:rPr>
                <w:szCs w:val="21"/>
              </w:rPr>
            </w:pPr>
            <w:r>
              <w:rPr>
                <w:rFonts w:hint="eastAsia"/>
                <w:szCs w:val="21"/>
              </w:rPr>
              <w:t>1</w:t>
            </w:r>
          </w:p>
        </w:tc>
        <w:tc>
          <w:tcPr>
            <w:tcW w:w="850" w:type="dxa"/>
            <w:vAlign w:val="center"/>
          </w:tcPr>
          <w:p>
            <w:pPr>
              <w:jc w:val="center"/>
              <w:rPr>
                <w:szCs w:val="21"/>
              </w:rPr>
            </w:pPr>
            <w:r>
              <w:rPr>
                <w:rFonts w:hint="eastAsia"/>
                <w:szCs w:val="21"/>
              </w:rPr>
              <w:t>--</w:t>
            </w:r>
          </w:p>
        </w:tc>
        <w:tc>
          <w:tcPr>
            <w:tcW w:w="851" w:type="dxa"/>
            <w:vAlign w:val="center"/>
          </w:tcPr>
          <w:p>
            <w:pPr>
              <w:jc w:val="center"/>
              <w:rPr>
                <w:szCs w:val="21"/>
              </w:rPr>
            </w:pPr>
            <w:r>
              <w:rPr>
                <w:rFonts w:hint="eastAsia"/>
                <w:szCs w:val="21"/>
              </w:rPr>
              <w:t>2.4</w:t>
            </w:r>
          </w:p>
        </w:tc>
        <w:tc>
          <w:tcPr>
            <w:tcW w:w="850" w:type="dxa"/>
            <w:vAlign w:val="center"/>
          </w:tcPr>
          <w:p>
            <w:pPr>
              <w:jc w:val="center"/>
              <w:rPr>
                <w:szCs w:val="21"/>
              </w:rPr>
            </w:pPr>
            <w:r>
              <w:rPr>
                <w:rFonts w:hint="eastAsia"/>
                <w:szCs w:val="21"/>
              </w:rPr>
              <w:t>0.42</w:t>
            </w:r>
          </w:p>
        </w:tc>
        <w:tc>
          <w:tcPr>
            <w:tcW w:w="709" w:type="dxa"/>
            <w:vAlign w:val="center"/>
          </w:tcPr>
          <w:p>
            <w:pPr>
              <w:jc w:val="center"/>
              <w:rPr>
                <w:szCs w:val="21"/>
              </w:rPr>
            </w:pPr>
            <w:r>
              <w:rPr>
                <w:rFonts w:hint="eastAsia"/>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133" w:type="dxa"/>
            <w:vAlign w:val="center"/>
          </w:tcPr>
          <w:p>
            <w:pPr>
              <w:jc w:val="center"/>
              <w:rPr>
                <w:szCs w:val="21"/>
              </w:rPr>
            </w:pPr>
            <w:r>
              <w:rPr>
                <w:szCs w:val="21"/>
              </w:rPr>
              <w:t>安装工程</w:t>
            </w:r>
          </w:p>
        </w:tc>
        <w:tc>
          <w:tcPr>
            <w:tcW w:w="995" w:type="dxa"/>
            <w:vAlign w:val="center"/>
          </w:tcPr>
          <w:p>
            <w:pPr>
              <w:jc w:val="center"/>
              <w:rPr>
                <w:szCs w:val="21"/>
              </w:rPr>
            </w:pPr>
            <w:r>
              <w:rPr>
                <w:rFonts w:hint="eastAsia"/>
                <w:szCs w:val="21"/>
              </w:rPr>
              <w:t>1.5</w:t>
            </w:r>
          </w:p>
        </w:tc>
        <w:tc>
          <w:tcPr>
            <w:tcW w:w="991" w:type="dxa"/>
            <w:vAlign w:val="center"/>
          </w:tcPr>
          <w:p>
            <w:pPr>
              <w:jc w:val="center"/>
              <w:rPr>
                <w:szCs w:val="21"/>
              </w:rPr>
            </w:pPr>
            <w:r>
              <w:rPr>
                <w:rFonts w:hint="eastAsia"/>
                <w:szCs w:val="21"/>
              </w:rPr>
              <w:t>--</w:t>
            </w:r>
          </w:p>
        </w:tc>
        <w:tc>
          <w:tcPr>
            <w:tcW w:w="709" w:type="dxa"/>
            <w:vAlign w:val="center"/>
          </w:tcPr>
          <w:p>
            <w:pPr>
              <w:jc w:val="center"/>
              <w:rPr>
                <w:szCs w:val="21"/>
              </w:rPr>
            </w:pPr>
            <w:r>
              <w:rPr>
                <w:rFonts w:hint="eastAsia"/>
                <w:szCs w:val="21"/>
              </w:rPr>
              <w:t>0.21</w:t>
            </w:r>
          </w:p>
        </w:tc>
        <w:tc>
          <w:tcPr>
            <w:tcW w:w="907" w:type="dxa"/>
            <w:vAlign w:val="center"/>
          </w:tcPr>
          <w:p>
            <w:pPr>
              <w:jc w:val="center"/>
              <w:rPr>
                <w:szCs w:val="21"/>
              </w:rPr>
            </w:pPr>
            <w:r>
              <w:rPr>
                <w:rFonts w:hint="eastAsia"/>
                <w:szCs w:val="21"/>
              </w:rPr>
              <w:t>--</w:t>
            </w:r>
          </w:p>
        </w:tc>
        <w:tc>
          <w:tcPr>
            <w:tcW w:w="936" w:type="dxa"/>
            <w:vAlign w:val="center"/>
          </w:tcPr>
          <w:p>
            <w:pPr>
              <w:jc w:val="center"/>
              <w:rPr>
                <w:szCs w:val="21"/>
              </w:rPr>
            </w:pPr>
            <w:r>
              <w:rPr>
                <w:rFonts w:hint="eastAsia"/>
                <w:szCs w:val="21"/>
              </w:rPr>
              <w:t>--</w:t>
            </w:r>
          </w:p>
        </w:tc>
        <w:tc>
          <w:tcPr>
            <w:tcW w:w="709" w:type="dxa"/>
            <w:vAlign w:val="center"/>
          </w:tcPr>
          <w:p>
            <w:pPr>
              <w:jc w:val="center"/>
              <w:rPr>
                <w:szCs w:val="21"/>
              </w:rPr>
            </w:pPr>
            <w:r>
              <w:rPr>
                <w:rFonts w:hint="eastAsia"/>
                <w:szCs w:val="21"/>
              </w:rPr>
              <w:t>--</w:t>
            </w:r>
          </w:p>
        </w:tc>
        <w:tc>
          <w:tcPr>
            <w:tcW w:w="850" w:type="dxa"/>
            <w:vAlign w:val="center"/>
          </w:tcPr>
          <w:p>
            <w:pPr>
              <w:jc w:val="center"/>
              <w:rPr>
                <w:rFonts w:hint="default" w:eastAsiaTheme="minorEastAsia"/>
                <w:szCs w:val="21"/>
                <w:lang w:val="en-US" w:eastAsia="zh-CN"/>
              </w:rPr>
            </w:pPr>
            <w:r>
              <w:rPr>
                <w:rFonts w:hint="eastAsia"/>
                <w:szCs w:val="21"/>
              </w:rPr>
              <w:t>0.</w:t>
            </w:r>
            <w:r>
              <w:rPr>
                <w:rFonts w:hint="eastAsia"/>
                <w:szCs w:val="21"/>
                <w:lang w:val="en-US" w:eastAsia="zh-CN"/>
              </w:rPr>
              <w:t>05</w:t>
            </w:r>
          </w:p>
        </w:tc>
        <w:tc>
          <w:tcPr>
            <w:tcW w:w="709" w:type="dxa"/>
            <w:vAlign w:val="center"/>
          </w:tcPr>
          <w:p>
            <w:pPr>
              <w:jc w:val="center"/>
              <w:rPr>
                <w:szCs w:val="21"/>
              </w:rPr>
            </w:pPr>
            <w:r>
              <w:rPr>
                <w:rFonts w:hint="eastAsia"/>
                <w:szCs w:val="21"/>
              </w:rPr>
              <w:t>1.3</w:t>
            </w:r>
          </w:p>
        </w:tc>
        <w:tc>
          <w:tcPr>
            <w:tcW w:w="850" w:type="dxa"/>
            <w:vAlign w:val="center"/>
          </w:tcPr>
          <w:p>
            <w:pPr>
              <w:jc w:val="center"/>
              <w:rPr>
                <w:szCs w:val="21"/>
              </w:rPr>
            </w:pPr>
            <w:r>
              <w:rPr>
                <w:rFonts w:hint="eastAsia"/>
                <w:szCs w:val="21"/>
              </w:rPr>
              <w:t>--</w:t>
            </w:r>
          </w:p>
        </w:tc>
        <w:tc>
          <w:tcPr>
            <w:tcW w:w="851" w:type="dxa"/>
            <w:vAlign w:val="center"/>
          </w:tcPr>
          <w:p>
            <w:pPr>
              <w:jc w:val="center"/>
              <w:rPr>
                <w:szCs w:val="21"/>
              </w:rPr>
            </w:pPr>
            <w:r>
              <w:rPr>
                <w:rFonts w:hint="eastAsia"/>
                <w:szCs w:val="21"/>
              </w:rPr>
              <w:t>2.4</w:t>
            </w:r>
          </w:p>
        </w:tc>
        <w:tc>
          <w:tcPr>
            <w:tcW w:w="850" w:type="dxa"/>
            <w:vAlign w:val="center"/>
          </w:tcPr>
          <w:p>
            <w:pPr>
              <w:jc w:val="center"/>
              <w:rPr>
                <w:szCs w:val="21"/>
              </w:rPr>
            </w:pPr>
            <w:r>
              <w:rPr>
                <w:rFonts w:hint="eastAsia"/>
                <w:szCs w:val="21"/>
              </w:rPr>
              <w:t>0.42</w:t>
            </w:r>
          </w:p>
        </w:tc>
        <w:tc>
          <w:tcPr>
            <w:tcW w:w="709" w:type="dxa"/>
            <w:vAlign w:val="center"/>
          </w:tcPr>
          <w:p>
            <w:pPr>
              <w:jc w:val="center"/>
              <w:rPr>
                <w:szCs w:val="21"/>
              </w:rPr>
            </w:pPr>
            <w:r>
              <w:rPr>
                <w:rFonts w:hint="eastAsia"/>
                <w:szCs w:val="21"/>
              </w:rPr>
              <w:t>9</w:t>
            </w:r>
          </w:p>
        </w:tc>
      </w:tr>
    </w:tbl>
    <w:p>
      <w:pPr>
        <w:ind w:left="240" w:hanging="240" w:hangingChars="100"/>
        <w:rPr>
          <w:sz w:val="24"/>
          <w:szCs w:val="24"/>
        </w:rPr>
      </w:pPr>
      <w:r>
        <w:rPr>
          <w:rFonts w:hint="eastAsia"/>
          <w:sz w:val="24"/>
          <w:szCs w:val="24"/>
        </w:rPr>
        <w:t xml:space="preserve">4、 </w:t>
      </w:r>
      <w:r>
        <w:rPr>
          <w:sz w:val="24"/>
          <w:szCs w:val="24"/>
        </w:rPr>
        <w:t>本项目工程各单位工程总价措施、规费及税金取费如</w:t>
      </w:r>
      <w:bookmarkStart w:id="0" w:name="_GoBack"/>
      <w:bookmarkEnd w:id="0"/>
      <w:r>
        <w:rPr>
          <w:sz w:val="24"/>
          <w:szCs w:val="24"/>
        </w:rPr>
        <w:t>下表：</w:t>
      </w:r>
    </w:p>
    <w:p>
      <w:pPr>
        <w:ind w:left="240" w:hanging="240" w:hangingChars="100"/>
        <w:rPr>
          <w:sz w:val="24"/>
          <w:szCs w:val="24"/>
        </w:rPr>
      </w:pPr>
      <w:r>
        <w:rPr>
          <w:rFonts w:hint="eastAsia"/>
          <w:sz w:val="24"/>
          <w:szCs w:val="24"/>
        </w:rPr>
        <w:t xml:space="preserve">5、 </w:t>
      </w:r>
      <w:r>
        <w:rPr>
          <w:sz w:val="24"/>
          <w:szCs w:val="24"/>
        </w:rPr>
        <w:t>材料价格按 202</w:t>
      </w:r>
      <w:r>
        <w:rPr>
          <w:rFonts w:hint="eastAsia"/>
          <w:sz w:val="24"/>
          <w:szCs w:val="24"/>
        </w:rPr>
        <w:t>3</w:t>
      </w:r>
      <w:r>
        <w:rPr>
          <w:sz w:val="24"/>
          <w:szCs w:val="24"/>
        </w:rPr>
        <w:t xml:space="preserve">年 </w:t>
      </w:r>
      <w:r>
        <w:rPr>
          <w:rFonts w:hint="eastAsia"/>
          <w:sz w:val="24"/>
          <w:szCs w:val="24"/>
          <w:lang w:val="en-US" w:eastAsia="zh-CN"/>
        </w:rPr>
        <w:t>5</w:t>
      </w:r>
      <w:r>
        <w:rPr>
          <w:sz w:val="24"/>
          <w:szCs w:val="24"/>
        </w:rPr>
        <w:t xml:space="preserve"> 月份常州工程造价信息除税指导价及市场询价计入</w:t>
      </w:r>
      <w:r>
        <w:rPr>
          <w:rFonts w:hint="eastAsia"/>
          <w:sz w:val="24"/>
          <w:szCs w:val="24"/>
        </w:rPr>
        <w:t>。</w:t>
      </w:r>
    </w:p>
    <w:p>
      <w:pPr>
        <w:ind w:left="240" w:hanging="240" w:hangingChars="100"/>
        <w:rPr>
          <w:sz w:val="24"/>
          <w:szCs w:val="24"/>
        </w:rPr>
      </w:pPr>
      <w:r>
        <w:rPr>
          <w:rFonts w:hint="eastAsia"/>
          <w:sz w:val="24"/>
          <w:szCs w:val="24"/>
        </w:rPr>
        <w:t>6、</w:t>
      </w:r>
      <w:r>
        <w:rPr>
          <w:sz w:val="24"/>
          <w:szCs w:val="24"/>
        </w:rPr>
        <w:t>本工程人工费按</w:t>
      </w:r>
      <w:r>
        <w:rPr>
          <w:rFonts w:hint="eastAsia"/>
          <w:sz w:val="24"/>
          <w:szCs w:val="24"/>
        </w:rPr>
        <w:t>苏建函价〔2023〕63</w:t>
      </w:r>
      <w:r>
        <w:rPr>
          <w:sz w:val="24"/>
          <w:szCs w:val="24"/>
        </w:rPr>
        <w:t>号文执行。</w:t>
      </w:r>
    </w:p>
    <w:p>
      <w:pPr>
        <w:ind w:left="240" w:hanging="240" w:hangingChars="100"/>
        <w:rPr>
          <w:sz w:val="24"/>
          <w:szCs w:val="24"/>
        </w:rPr>
      </w:pPr>
      <w:r>
        <w:rPr>
          <w:rFonts w:hint="eastAsia"/>
          <w:sz w:val="24"/>
          <w:szCs w:val="24"/>
        </w:rPr>
        <w:t>7、</w:t>
      </w:r>
      <w:r>
        <w:rPr>
          <w:sz w:val="24"/>
          <w:szCs w:val="24"/>
        </w:rPr>
        <w:t>本工程采用增值税的一般计税方法</w:t>
      </w:r>
      <w:r>
        <w:rPr>
          <w:rFonts w:hint="eastAsia"/>
          <w:sz w:val="24"/>
          <w:szCs w:val="24"/>
        </w:rPr>
        <w:t>。</w:t>
      </w:r>
    </w:p>
    <w:p>
      <w:pPr>
        <w:ind w:left="480" w:hanging="480" w:hangingChars="200"/>
        <w:rPr>
          <w:sz w:val="24"/>
          <w:szCs w:val="24"/>
        </w:rPr>
      </w:pPr>
      <w:r>
        <w:rPr>
          <w:rFonts w:hint="eastAsia"/>
          <w:sz w:val="24"/>
          <w:szCs w:val="24"/>
        </w:rPr>
        <w:t>8、</w:t>
      </w:r>
      <w:r>
        <w:rPr>
          <w:sz w:val="24"/>
          <w:szCs w:val="24"/>
        </w:rPr>
        <w:t>本次招标范围：工程量清单及图纸范围内的装饰装修</w:t>
      </w:r>
      <w:r>
        <w:rPr>
          <w:rFonts w:hint="eastAsia"/>
          <w:sz w:val="24"/>
          <w:szCs w:val="24"/>
        </w:rPr>
        <w:t>、</w:t>
      </w:r>
      <w:r>
        <w:rPr>
          <w:rFonts w:hint="eastAsia" w:ascii="宋体"/>
          <w:sz w:val="24"/>
          <w:szCs w:val="24"/>
        </w:rPr>
        <w:t>电气照明系统（配电箱、桥架、电缆、电线、配管、开关、插座、灯具等）及弱电系统（只计算配管）</w:t>
      </w:r>
      <w:r>
        <w:rPr>
          <w:sz w:val="24"/>
          <w:szCs w:val="24"/>
        </w:rPr>
        <w:t>及布展工程等</w:t>
      </w:r>
      <w:r>
        <w:rPr>
          <w:rFonts w:hint="eastAsia"/>
          <w:sz w:val="24"/>
          <w:szCs w:val="24"/>
        </w:rPr>
        <w:t>，</w:t>
      </w:r>
      <w:r>
        <w:rPr>
          <w:sz w:val="24"/>
          <w:szCs w:val="24"/>
        </w:rPr>
        <w:t>不含显示屏及中央空调。</w:t>
      </w:r>
    </w:p>
    <w:p>
      <w:pPr>
        <w:ind w:left="480" w:hanging="480" w:hangingChars="200"/>
        <w:rPr>
          <w:rFonts w:hint="default" w:eastAsiaTheme="minorEastAsia"/>
          <w:sz w:val="24"/>
          <w:szCs w:val="24"/>
          <w:lang w:val="en-US" w:eastAsia="zh-CN"/>
        </w:rPr>
      </w:pPr>
      <w:r>
        <w:rPr>
          <w:rFonts w:hint="eastAsia"/>
          <w:sz w:val="24"/>
          <w:szCs w:val="24"/>
          <w:lang w:val="en-US" w:eastAsia="zh-CN"/>
        </w:rPr>
        <w:t>9、其中暂列金额80000.00元</w:t>
      </w:r>
    </w:p>
    <w:p>
      <w:pPr>
        <w:ind w:left="281" w:hanging="281" w:hangingChars="100"/>
        <w:rPr>
          <w:sz w:val="24"/>
          <w:szCs w:val="24"/>
        </w:rPr>
      </w:pPr>
      <w:r>
        <w:rPr>
          <w:rFonts w:hint="eastAsia"/>
          <w:b/>
          <w:sz w:val="28"/>
          <w:szCs w:val="28"/>
        </w:rPr>
        <w:t>三、</w:t>
      </w:r>
      <w:r>
        <w:rPr>
          <w:b/>
          <w:sz w:val="28"/>
          <w:szCs w:val="28"/>
        </w:rPr>
        <w:t>装饰部分</w:t>
      </w:r>
    </w:p>
    <w:p>
      <w:pPr>
        <w:ind w:left="240" w:hanging="240" w:hangingChars="100"/>
        <w:rPr>
          <w:sz w:val="24"/>
          <w:szCs w:val="24"/>
        </w:rPr>
      </w:pPr>
      <w:r>
        <w:rPr>
          <w:sz w:val="24"/>
          <w:szCs w:val="24"/>
        </w:rPr>
        <w:t xml:space="preserve">1、 工程量计算规则除清单中特别说明外均同《江苏省建筑与装饰工程计价定额》（2014 年）；《江苏省安装工程计价定额》（2014年）计算规则计算。 </w:t>
      </w:r>
    </w:p>
    <w:p>
      <w:pPr>
        <w:ind w:left="240" w:hanging="240" w:hangingChars="100"/>
        <w:rPr>
          <w:sz w:val="24"/>
          <w:szCs w:val="24"/>
        </w:rPr>
      </w:pPr>
      <w:r>
        <w:rPr>
          <w:sz w:val="24"/>
          <w:szCs w:val="24"/>
        </w:rPr>
        <w:t xml:space="preserve">2、 本标底编制时综合考虑了合理工期和质量要求、匹配的施工组织设计和施工方法以及必要的技术措施等。 </w:t>
      </w:r>
    </w:p>
    <w:p>
      <w:pPr>
        <w:ind w:left="240" w:hanging="240" w:hangingChars="100"/>
        <w:rPr>
          <w:sz w:val="24"/>
          <w:szCs w:val="24"/>
        </w:rPr>
      </w:pPr>
      <w:r>
        <w:rPr>
          <w:rFonts w:hint="eastAsia"/>
          <w:sz w:val="24"/>
          <w:szCs w:val="24"/>
        </w:rPr>
        <w:t>3</w:t>
      </w:r>
      <w:r>
        <w:rPr>
          <w:sz w:val="24"/>
          <w:szCs w:val="24"/>
        </w:rPr>
        <w:t xml:space="preserve">、本工程所用饰面材料、石膏板、乳胶漆及辅材等必须达到E1级并需提供环保证书。  </w:t>
      </w:r>
    </w:p>
    <w:p>
      <w:pPr>
        <w:ind w:left="240" w:hanging="240" w:hangingChars="100"/>
        <w:rPr>
          <w:sz w:val="24"/>
          <w:szCs w:val="24"/>
        </w:rPr>
      </w:pPr>
      <w:r>
        <w:rPr>
          <w:rFonts w:hint="eastAsia"/>
          <w:sz w:val="24"/>
          <w:szCs w:val="24"/>
        </w:rPr>
        <w:t>4</w:t>
      </w:r>
      <w:r>
        <w:rPr>
          <w:sz w:val="24"/>
          <w:szCs w:val="24"/>
        </w:rPr>
        <w:t xml:space="preserve">、 饰面板（如墙布、墙面饰面板等面层材料）颜色、纹理在施工过程中由业主确认，投标报价时应充分考虑颜色、纹理更换导致的价格风险，结算时饰面板颜色、纹理更改，投标价格不调整。 </w:t>
      </w:r>
    </w:p>
    <w:p>
      <w:pPr>
        <w:ind w:left="240" w:hanging="240" w:hangingChars="100"/>
        <w:rPr>
          <w:sz w:val="24"/>
          <w:szCs w:val="24"/>
        </w:rPr>
      </w:pPr>
      <w:r>
        <w:rPr>
          <w:rFonts w:hint="eastAsia"/>
          <w:sz w:val="24"/>
          <w:szCs w:val="24"/>
        </w:rPr>
        <w:t>5</w:t>
      </w:r>
      <w:r>
        <w:rPr>
          <w:sz w:val="24"/>
          <w:szCs w:val="24"/>
        </w:rPr>
        <w:t xml:space="preserve">、 本工程中的乳胶漆均为环保涂料，颜色、纹理在施工中由业主确认，在报价中综合考虑，竣工结算不应色彩、纹理变化而调整。  </w:t>
      </w:r>
    </w:p>
    <w:p>
      <w:pPr>
        <w:ind w:left="240" w:hanging="240" w:hangingChars="100"/>
        <w:rPr>
          <w:sz w:val="24"/>
          <w:szCs w:val="24"/>
        </w:rPr>
      </w:pPr>
      <w:r>
        <w:rPr>
          <w:sz w:val="24"/>
          <w:szCs w:val="24"/>
        </w:rPr>
        <w:t xml:space="preserve">6、 本工程所有开灯孔、空调风口的龙骨加固费用均应综合考虑在相应的清单内，结算时不得增加加固费用。 </w:t>
      </w:r>
    </w:p>
    <w:p>
      <w:pPr>
        <w:ind w:left="240" w:hanging="240" w:hangingChars="100"/>
        <w:rPr>
          <w:sz w:val="24"/>
          <w:szCs w:val="24"/>
        </w:rPr>
      </w:pPr>
      <w:r>
        <w:rPr>
          <w:sz w:val="24"/>
          <w:szCs w:val="24"/>
        </w:rPr>
        <w:t xml:space="preserve">7、 本工程所有用材的环保等级、防护等级、有害物质限量指标等均应满足设计及现行规范要求。 </w:t>
      </w:r>
    </w:p>
    <w:p>
      <w:pPr>
        <w:ind w:left="240" w:hanging="240" w:hangingChars="100"/>
        <w:rPr>
          <w:sz w:val="24"/>
          <w:szCs w:val="24"/>
        </w:rPr>
      </w:pPr>
      <w:r>
        <w:rPr>
          <w:sz w:val="24"/>
          <w:szCs w:val="24"/>
        </w:rPr>
        <w:t>8、 所有镀锌钢材均为热镀锌钢材，不锈钢均为 30</w:t>
      </w:r>
      <w:r>
        <w:rPr>
          <w:rFonts w:hint="eastAsia"/>
          <w:sz w:val="24"/>
          <w:szCs w:val="24"/>
        </w:rPr>
        <w:t>4</w:t>
      </w:r>
      <w:r>
        <w:rPr>
          <w:sz w:val="24"/>
          <w:szCs w:val="24"/>
        </w:rPr>
        <w:t>不锈钢</w:t>
      </w:r>
      <w:r>
        <w:rPr>
          <w:rFonts w:hint="eastAsia"/>
          <w:sz w:val="24"/>
          <w:szCs w:val="24"/>
        </w:rPr>
        <w:t>；</w:t>
      </w:r>
      <w:r>
        <w:rPr>
          <w:sz w:val="24"/>
          <w:szCs w:val="24"/>
        </w:rPr>
        <w:t xml:space="preserve">304 不锈钢、热镀锌要求满足国标要求及验收规范要求。 </w:t>
      </w:r>
    </w:p>
    <w:p>
      <w:pPr>
        <w:ind w:left="240" w:hanging="240" w:hangingChars="100"/>
        <w:rPr>
          <w:sz w:val="24"/>
          <w:szCs w:val="24"/>
        </w:rPr>
      </w:pPr>
      <w:r>
        <w:rPr>
          <w:sz w:val="24"/>
          <w:szCs w:val="24"/>
        </w:rPr>
        <w:t xml:space="preserve">9、 所有材料的卸力费、保管费、二次搬运费、垂直运输等由投标人自行考虑计入报价。 </w:t>
      </w:r>
    </w:p>
    <w:p>
      <w:pPr>
        <w:ind w:left="240" w:hanging="240" w:hangingChars="100"/>
        <w:rPr>
          <w:sz w:val="24"/>
          <w:szCs w:val="24"/>
        </w:rPr>
      </w:pPr>
      <w:r>
        <w:rPr>
          <w:rFonts w:hint="eastAsia"/>
          <w:sz w:val="24"/>
          <w:szCs w:val="24"/>
        </w:rPr>
        <w:t>1</w:t>
      </w:r>
      <w:r>
        <w:rPr>
          <w:sz w:val="24"/>
          <w:szCs w:val="24"/>
        </w:rPr>
        <w:t>0、 除工程量清单项目特征描述中注明含量暂定外，本工程所有埋件（后置埋件）、吊筋高度、转换支架、反向支撑、龙骨、钢骨架、基层板、饰面材料等含量由投标人按照施工图纸及相关规范自行测算报价，结算时不作调整。</w:t>
      </w:r>
    </w:p>
    <w:p>
      <w:pPr>
        <w:ind w:left="240" w:hanging="240" w:hangingChars="100"/>
        <w:rPr>
          <w:sz w:val="24"/>
          <w:szCs w:val="24"/>
        </w:rPr>
      </w:pPr>
      <w:r>
        <w:rPr>
          <w:rFonts w:hint="eastAsia"/>
          <w:sz w:val="24"/>
          <w:szCs w:val="24"/>
        </w:rPr>
        <w:t>1</w:t>
      </w:r>
      <w:r>
        <w:rPr>
          <w:sz w:val="24"/>
          <w:szCs w:val="24"/>
        </w:rPr>
        <w:t xml:space="preserve">1、 材料遇门窗、阴角、阳角等的收边、收口需按现行规范要求进行的加强、加密及材料增加等费用应包括在相应的投标综合单价中，结算时不因此而调整综合单价。 </w:t>
      </w:r>
    </w:p>
    <w:p>
      <w:pPr>
        <w:ind w:left="240" w:hanging="240" w:hangingChars="100"/>
        <w:rPr>
          <w:sz w:val="24"/>
          <w:szCs w:val="24"/>
        </w:rPr>
      </w:pPr>
      <w:r>
        <w:rPr>
          <w:rFonts w:hint="eastAsia"/>
          <w:sz w:val="24"/>
          <w:szCs w:val="24"/>
        </w:rPr>
        <w:t>1</w:t>
      </w:r>
      <w:r>
        <w:rPr>
          <w:sz w:val="24"/>
          <w:szCs w:val="24"/>
        </w:rPr>
        <w:t>2、</w:t>
      </w:r>
      <w:r>
        <w:rPr>
          <w:rFonts w:hint="eastAsia"/>
          <w:sz w:val="24"/>
          <w:szCs w:val="24"/>
        </w:rPr>
        <w:t xml:space="preserve"> </w:t>
      </w:r>
      <w:r>
        <w:rPr>
          <w:sz w:val="24"/>
          <w:szCs w:val="24"/>
        </w:rPr>
        <w:t xml:space="preserve">清单与图纸互为补充，清单有描述的依据清单为准，清单没有描述的依据图纸为准，清单与图纸有矛盾的严格按照图纸及规范要求，每条清单项目应包含图纸设计所有内容及实际发生的隐性项目。 </w:t>
      </w:r>
    </w:p>
    <w:p>
      <w:pPr>
        <w:ind w:left="240" w:hanging="240" w:hangingChars="100"/>
        <w:rPr>
          <w:sz w:val="24"/>
          <w:szCs w:val="24"/>
        </w:rPr>
      </w:pPr>
      <w:r>
        <w:rPr>
          <w:rFonts w:hint="eastAsia"/>
          <w:sz w:val="24"/>
          <w:szCs w:val="24"/>
        </w:rPr>
        <w:t>13</w:t>
      </w:r>
      <w:r>
        <w:rPr>
          <w:sz w:val="24"/>
          <w:szCs w:val="24"/>
        </w:rPr>
        <w:t xml:space="preserve">、 所有装饰材料须先提供样品经甲方书面确认后方可进场安装。 </w:t>
      </w:r>
    </w:p>
    <w:p>
      <w:pPr>
        <w:ind w:left="240" w:hanging="240" w:hangingChars="100"/>
        <w:rPr>
          <w:sz w:val="24"/>
          <w:szCs w:val="24"/>
        </w:rPr>
      </w:pPr>
      <w:r>
        <w:rPr>
          <w:rFonts w:hint="eastAsia"/>
          <w:sz w:val="24"/>
          <w:szCs w:val="24"/>
        </w:rPr>
        <w:t>14</w:t>
      </w:r>
      <w:r>
        <w:rPr>
          <w:sz w:val="24"/>
          <w:szCs w:val="24"/>
        </w:rPr>
        <w:t xml:space="preserve">、 投标报价时应根据图纸充分考虑各种材料的材料损耗，结算不调整。 </w:t>
      </w:r>
    </w:p>
    <w:p>
      <w:pPr>
        <w:ind w:left="240" w:hanging="240" w:hangingChars="100"/>
        <w:rPr>
          <w:sz w:val="24"/>
          <w:szCs w:val="24"/>
        </w:rPr>
      </w:pPr>
      <w:r>
        <w:rPr>
          <w:rFonts w:hint="eastAsia"/>
          <w:sz w:val="24"/>
          <w:szCs w:val="24"/>
        </w:rPr>
        <w:t>15</w:t>
      </w:r>
      <w:r>
        <w:rPr>
          <w:sz w:val="24"/>
          <w:szCs w:val="24"/>
        </w:rPr>
        <w:t xml:space="preserve">、 清单中所列的柜台制作前应基于施工图对照现实空间进行深化设计报甲方签字确认，包括材料色纹、材质、空间尺寸、柜内分仓尺寸等，此深化不改变投标单价。  </w:t>
      </w:r>
    </w:p>
    <w:p>
      <w:pPr>
        <w:ind w:left="240" w:hanging="240" w:hangingChars="100"/>
        <w:rPr>
          <w:rFonts w:hint="eastAsia"/>
          <w:sz w:val="24"/>
          <w:szCs w:val="24"/>
        </w:rPr>
      </w:pPr>
      <w:r>
        <w:rPr>
          <w:rFonts w:hint="eastAsia"/>
          <w:sz w:val="24"/>
          <w:szCs w:val="24"/>
        </w:rPr>
        <w:t>16</w:t>
      </w:r>
      <w:r>
        <w:rPr>
          <w:sz w:val="24"/>
          <w:szCs w:val="24"/>
        </w:rPr>
        <w:t>、 施工用水、用电由招标人提供，其水费、电费单价投标时按定额价进行报价，结算时按定额价予以扣除。</w:t>
      </w:r>
    </w:p>
    <w:p>
      <w:pPr>
        <w:ind w:left="240" w:hanging="240" w:hangingChars="10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M2MwZTdlNDQzYTg2MmZhOTlhZTRjNzcxNGNhZWQifQ=="/>
  </w:docVars>
  <w:rsids>
    <w:rsidRoot w:val="009C13CD"/>
    <w:rsid w:val="000214FE"/>
    <w:rsid w:val="00061DD2"/>
    <w:rsid w:val="00204616"/>
    <w:rsid w:val="00492028"/>
    <w:rsid w:val="00754061"/>
    <w:rsid w:val="00896580"/>
    <w:rsid w:val="009C13CD"/>
    <w:rsid w:val="009E0AB8"/>
    <w:rsid w:val="00C91D26"/>
    <w:rsid w:val="00D12E4D"/>
    <w:rsid w:val="00DC678F"/>
    <w:rsid w:val="00F00304"/>
    <w:rsid w:val="340957A0"/>
    <w:rsid w:val="7BC66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1448</Words>
  <Characters>1536</Characters>
  <Lines>12</Lines>
  <Paragraphs>3</Paragraphs>
  <TotalTime>2</TotalTime>
  <ScaleCrop>false</ScaleCrop>
  <LinksUpToDate>false</LinksUpToDate>
  <CharactersWithSpaces>1629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2023-06-08T00:51:00Z</dcterms:created>
  <dc:creator>羊路平</dc:creator>
  <cp:lastModifiedBy>陈家权</cp:lastModifiedBy>
  <dcterms:modified xsi:type="dcterms:W3CDTF">2023-06-21T13:13:20Z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11FEF84EFEB84D1794F2E8A31987FE1A_12</vt:lpwstr>
  </property>
</Properties>
</file>