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溧阳市人民政府行政复议中心项目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编制说明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工程概况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本工程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为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溧阳市人民政府行政复议中心项目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编制内容包括：</w:t>
      </w: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拆除工程、改造装修、安装工程、屋面防水修补等 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编制依据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bookmarkStart w:id="0" w:name="OLE_LINK2"/>
      <w:bookmarkStart w:id="1" w:name="OLE_LINK1"/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《建设工程工程量清单计价规范》（GB50500-2013）</w:t>
      </w:r>
      <w:bookmarkEnd w:id="0"/>
      <w:bookmarkEnd w:id="1"/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《房屋建筑与装饰工程工程量计算规范》(GB50854-2013)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3、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《江苏省建设工程费用定额（2014年）营改增</w:t>
      </w:r>
    </w:p>
    <w:p>
      <w:pPr>
        <w:numPr>
          <w:ilvl w:val="0"/>
          <w:numId w:val="2"/>
        </w:numPr>
        <w:spacing w:line="520" w:lineRule="exact"/>
        <w:ind w:left="425" w:leftChars="0" w:firstLine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《江苏省市政工程计价定额》（2014年版）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>4、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《江苏省建筑与装饰工程计价定额》（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2014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年版）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江苏省建设工程人工工资指导价，苏建函价〔202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〕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63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号</w:t>
      </w:r>
    </w:p>
    <w:p>
      <w:pPr>
        <w:numPr>
          <w:ilvl w:val="0"/>
          <w:numId w:val="0"/>
        </w:numPr>
        <w:spacing w:line="520" w:lineRule="exact"/>
        <w:ind w:leftChars="0"/>
        <w:jc w:val="left"/>
        <w:rPr>
          <w:rFonts w:hint="default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江苏省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常州市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工程造价信息指导价2023第</w:t>
      </w:r>
      <w:r>
        <w:rPr>
          <w:rFonts w:hint="eastAsia" w:asciiTheme="minorEastAsia" w:hAnsiTheme="minorEastAsia" w:cstheme="minorEastAsia"/>
          <w:kern w:val="0"/>
          <w:sz w:val="24"/>
          <w:szCs w:val="24"/>
          <w:highlight w:val="none"/>
          <w:lang w:val="en-US" w:eastAsia="zh-CN" w:bidi="ar"/>
        </w:rPr>
        <w:t>6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期</w: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default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工程取费说明</w:t>
      </w:r>
    </w:p>
    <w:tbl>
      <w:tblPr>
        <w:tblStyle w:val="7"/>
        <w:tblpPr w:leftFromText="180" w:rightFromText="180" w:vertAnchor="text" w:horzAnchor="page" w:tblpX="1335" w:tblpY="671"/>
        <w:tblOverlap w:val="never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3375"/>
        <w:gridCol w:w="1200"/>
        <w:gridCol w:w="1260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名称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取费基数</w:t>
            </w:r>
          </w:p>
        </w:tc>
        <w:tc>
          <w:tcPr>
            <w:tcW w:w="1200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装饰工程（%）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修缮土建（%）</w:t>
            </w:r>
          </w:p>
        </w:tc>
        <w:tc>
          <w:tcPr>
            <w:tcW w:w="1185" w:type="dxa"/>
            <w:vAlign w:val="center"/>
          </w:tcPr>
          <w:p>
            <w:pPr>
              <w:tabs>
                <w:tab w:val="left" w:pos="402"/>
              </w:tabs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安装工程（%）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管理费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43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26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利润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人工费+机械费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安装工程只计取人工费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15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12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现场安全文明施工基本费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1.7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1.5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扬尘污染防治增加费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0.21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临时设施费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建筑工人实名制费用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分部分项工程费+单价措施项目费-除税工程设备费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0.05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社会保险费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3.8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住房公积金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分部分项工程费+措施项目费+其他项目费-除税工程设备费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0.67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税金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分部分项工程费+措施项目费+其他项目费+规费-除税甲供材料和甲供设备费/1.01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四：其它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</w:rPr>
        <w:t>无价材料按市场行情定价(及业主提供资料信息）</w:t>
      </w:r>
      <w:r>
        <w:rPr>
          <w:rFonts w:hint="eastAsia" w:ascii="宋体" w:hAnsi="宋体" w:cs="宋体"/>
          <w:sz w:val="24"/>
          <w:lang w:eastAsia="zh-CN"/>
        </w:rPr>
        <w:t>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lang w:val="en-US" w:eastAsia="zh-CN"/>
        </w:rPr>
        <w:t>本工程暂列金详见清单计价文件；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lang w:val="en-US" w:eastAsia="zh-CN"/>
        </w:rPr>
        <w:t>装饰工程人工单价暂按中等高档次考虑；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cs="宋体"/>
          <w:sz w:val="24"/>
          <w:lang w:val="en-US" w:eastAsia="zh-CN"/>
        </w:rPr>
        <w:t>拆除工程量以实际工程量为准；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地砖局部修补工程量按照地面面积的30%考虑，结算时按照实际工程量计算；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五楼保留性拆除部分铝方通格栅吊顶，待天棚其它工作完成后考虑用原材料修复； 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本工程屋面拆除修复工程量为暂估工程量，具体以实际现场发生，甲方、监理、审计认可工程量为准；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本工程考虑了家具采购，采购前应向甲方汇报样式，甲方认可后方可采购，具体内容详见清单；</w:t>
      </w:r>
    </w:p>
    <w:p>
      <w:pPr>
        <w:widowControl w:val="0"/>
        <w:numPr>
          <w:ilvl w:val="0"/>
          <w:numId w:val="3"/>
        </w:numPr>
        <w:spacing w:line="520" w:lineRule="exact"/>
        <w:jc w:val="left"/>
        <w:rPr>
          <w:rFonts w:ascii="宋体" w:hAnsi="宋体" w:cs="宋体"/>
          <w:sz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highlight w:val="none"/>
          <w:lang w:val="en-US" w:eastAsia="zh-CN" w:bidi="ar"/>
        </w:rPr>
        <w:t>本工程推荐</w:t>
      </w:r>
      <w:r>
        <w:rPr>
          <w:rFonts w:hint="eastAsia" w:ascii="宋体" w:hAnsi="宋体" w:cs="宋体"/>
          <w:sz w:val="24"/>
        </w:rPr>
        <w:t>使用品牌见“类似材料、设备品牌一览表”，投标单位可使用“类似材料、设备品牌一览表”中的优等品或同等档次、质量为优等品的其他品牌，如投标人拟在推荐所有材料品牌外自行选择品牌，须在投标人要求澄清招标文件的截止时间前提出，招标人将对该品牌的性能、技术指标、技术参数、质量、使用寿命等方面进行审查，如该品牌均不低于可选品牌相应性能、技术指标、技术参数、质量、使用寿命等方面的要求，招标人将补充该品牌至招标文件推荐品牌中，并以招标文件补充文件形式公开发布至所有投标人。投标人在投标时应明确所选的材料品牌，如果投标人在投标文件中未明确材料品牌，中标后由中标人与招标人协商，在招标人提供的“类似材料、设备品牌一览表”中选择材料品牌，且投标报价不作调整。</w:t>
      </w:r>
    </w:p>
    <w:p>
      <w:pPr>
        <w:spacing w:line="360" w:lineRule="auto"/>
        <w:jc w:val="right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tbl>
      <w:tblPr>
        <w:tblStyle w:val="6"/>
        <w:tblW w:w="9840" w:type="dxa"/>
        <w:tblInd w:w="-4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40"/>
        <w:gridCol w:w="1590"/>
        <w:gridCol w:w="3225"/>
        <w:gridCol w:w="2205"/>
        <w:gridCol w:w="5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8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类似材料、设备品牌一览表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材料、设备名称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品牌（简称）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供应厂家</w:t>
            </w:r>
          </w:p>
        </w:tc>
        <w:tc>
          <w:tcPr>
            <w:tcW w:w="220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水泥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扬子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江苏扬子水泥有限公司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金峰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江苏金峰水泥集团有限公司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南方水泥有限公司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内、外墙涂料（含真石漆）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立邦涂料（中国）有限公司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多乐士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阿克苏诺贝尔漆油（上海）有限公司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三棵树涂料股份有限公司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地砖、墙砖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冠军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信益陶瓷（中国）有限公司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罗马利奥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广东冠星陶瓷企业有限公司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马可波罗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广东唯美陶瓷有限公司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防水材料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月皇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上海北新月皇新材料集团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恒顺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江苏恒顺防水材料有限公司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太湖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宜兴市太湖防水材料有限公司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东方雨虹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北京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东方雨虹防水技术股份有限公司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玻璃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南玻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中国</w:t>
            </w:r>
            <w:r>
              <w:rPr>
                <w:rFonts w:hint="eastAsia" w:ascii="宋体" w:hAnsi="宋体" w:cs="宋体"/>
                <w:kern w:val="0"/>
                <w:sz w:val="24"/>
              </w:rPr>
              <w:t>南玻集团股份有限公司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浙江长兴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浙江长兴玻璃有限公司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山东蓝星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山东蓝星（集团）有限公司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台玻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台玻长江玻璃有限公司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室内门</w:t>
            </w:r>
          </w:p>
        </w:tc>
        <w:tc>
          <w:tcPr>
            <w:tcW w:w="7020" w:type="dxa"/>
            <w:gridSpan w:val="3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1、产品应符合国际环保标准且达到欧洲环保标准E0级和日本环保标准F4星；甲醛释放含量低于0.12mg/m3。</w:t>
            </w:r>
          </w:p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2、符合国家要求的各项质量标准。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7</w:t>
            </w:r>
          </w:p>
        </w:tc>
        <w:tc>
          <w:tcPr>
            <w:tcW w:w="14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不锈钢构件</w:t>
            </w:r>
          </w:p>
        </w:tc>
        <w:tc>
          <w:tcPr>
            <w:tcW w:w="7020" w:type="dxa"/>
            <w:gridSpan w:val="3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304或以上档次质量符合设计和规范要求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8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门锁及五金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坚朗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东莞市坚朗五金制品有限公司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名门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广东名门锁业有限公司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顶固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广东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顶固集创家居股份有限公司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9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仿宋_GB2312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轻钢龙骨、石膏板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可耐福石膏板（江苏）有限公司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龙牌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北新建材集团股份有限公司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拉法基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博罗拉法基建材（深圳）有限公司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10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木工板、多层板、木饰面板、阻燃板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千年舟板材有限公司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兔宝宝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德华兔宝宝装饰新材股份有限公司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莫干山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浙江云峰莫干山装饰工程有限公司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1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铝板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龙鼎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江苏龙鼎集团有限公司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10"/>
                <w:rFonts w:ascii="宋体" w:hAnsi="宋体" w:cs="Arial"/>
                <w:i w:val="0"/>
                <w:color w:val="000000"/>
                <w:sz w:val="24"/>
                <w:shd w:val="clear" w:color="auto" w:fill="FFFFFF"/>
              </w:rPr>
              <w:t>吉顺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Arial"/>
                <w:color w:val="000000"/>
                <w:sz w:val="24"/>
                <w:shd w:val="clear" w:color="auto" w:fill="FFFFFF"/>
              </w:rPr>
              <w:t>江苏吉顺幕墙材料科技有限公司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吉祥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上海吉祥科技集团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98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2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电线、电缆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上上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江苏上上电缆集团公司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0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远东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江苏远东电缆有限公司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741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熊猫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上海熊猫线缆股份公司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73" w:hRule="atLeast"/>
        </w:trPr>
        <w:tc>
          <w:tcPr>
            <w:tcW w:w="81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1440" w:type="dxa"/>
            <w:vMerge w:val="restart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给排水、电工塑料管</w:t>
            </w: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伟星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浙江伟星新型建材股份有限公司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7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</w:t>
            </w:r>
          </w:p>
        </w:tc>
        <w:tc>
          <w:tcPr>
            <w:tcW w:w="3225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公元塑业集团有限公司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848" w:hRule="atLeast"/>
        </w:trPr>
        <w:tc>
          <w:tcPr>
            <w:tcW w:w="81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40" w:type="dxa"/>
            <w:vMerge w:val="continue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59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中财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浙江中财管道科技股份有限公司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7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照明灯具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雷士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惠州雷士光电科技有限公司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1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欧普照明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广东欧普照明有限公司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69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TCL集团股份有限公司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3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1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5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开关、插座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2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鸿雁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fldChar w:fldCharType="begin"/>
            </w:r>
            <w:r>
              <w:instrText xml:space="preserve"> HYPERLINK "https://baike.baidu.com/item/%E6%9D%AD%E5%B7%9E%E9%B8%BF%E9%9B%81%E7%94%B5%E5%99%A8%E6%9C%89%E9%99%90%E5%85%AC%E5%8F%B8/10480994" \t "https://baike.baidu.com/item/%E9%B8%BF%E9%9B%81%E7%94%B5%E5%99%A8/_blank" </w:instrText>
            </w:r>
            <w:r>
              <w:fldChar w:fldCharType="separate"/>
            </w:r>
            <w:r>
              <w:rPr>
                <w:rFonts w:hint="eastAsia" w:ascii="宋体" w:hAnsi="宋体"/>
                <w:bCs/>
                <w:sz w:val="24"/>
              </w:rPr>
              <w:t>杭州鸿雁电器有限公司</w:t>
            </w:r>
            <w:r>
              <w:rPr>
                <w:rFonts w:hint="eastAsia" w:ascii="宋体" w:hAnsi="宋体"/>
                <w:bCs/>
                <w:sz w:val="24"/>
              </w:rPr>
              <w:fldChar w:fldCharType="end"/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46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公牛集团股份有限公司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56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配电箱元器件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上海人民电器厂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82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正泰电器股份有限公司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90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德力西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中国德力西控股集团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17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洁具（水龙头）设施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箭牌家居集团股份有限公司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 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九牧</w:t>
            </w:r>
            <w:r>
              <w:rPr>
                <w:rFonts w:ascii="宋体" w:hAnsi="宋体"/>
                <w:bCs/>
                <w:sz w:val="24"/>
              </w:rPr>
              <w:t>集团有限公司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419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恒洁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广东恒洁卫浴有限公司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风机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北京上风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上风风机北京有限公司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类似于所列品牌产品中的优等品或同等档次、质量为优等品的其他品牌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上海应达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上海应达风机股份有限公司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上虞聚英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上虞聚英风机有限公司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液晶电视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飞利浦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60" w:afterAutospacing="0" w:line="330" w:lineRule="atLeast"/>
              <w:ind w:left="0" w:right="0" w:firstLine="0"/>
              <w:jc w:val="center"/>
              <w:rPr>
                <w:rFonts w:ascii="Arial" w:hAnsi="Arial" w:cs="Arial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</w:rPr>
            </w:pPr>
            <w:r>
              <w:rPr>
                <w:rFonts w:hint="default" w:ascii="Arial" w:hAnsi="Arial" w:cs="Arial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u w:val="none"/>
                <w:shd w:val="clear" w:fill="FFFFFF"/>
              </w:rPr>
              <w:t>飞利浦电器科技集团(中国)有限公司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海信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海信电器股份有限公司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索尼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 w:eastAsiaTheme="minorEastAsia"/>
                <w:b w:val="0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索尼（中国）有限公司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台式电脑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b w:val="0"/>
                <w:bCs/>
                <w:i w:val="0"/>
                <w:iCs w:val="0"/>
                <w:caps w:val="0"/>
                <w:color w:val="4E4E4E"/>
                <w:spacing w:val="0"/>
                <w:sz w:val="24"/>
                <w:szCs w:val="24"/>
                <w:shd w:val="clear" w:fill="FFFFFF"/>
              </w:rPr>
              <w:t>华硕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ascii="Arial" w:hAnsi="Arial" w:eastAsia="宋体" w:cs="Arial"/>
                <w:b w:val="0"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华硕电脑股份有限公司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Tahoma" w:hAnsi="Tahoma" w:eastAsia="Tahoma" w:cs="Tahoma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夏芝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深圳市夏芝科技有限公司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ascii="PingFang SC" w:hAnsi="PingFang SC" w:eastAsia="PingFang SC" w:cs="PingFang SC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PingFang SC" w:hAnsi="PingFang SC" w:eastAsia="PingFang SC" w:cs="PingFang SC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惠普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ascii="Arial" w:hAnsi="Arial" w:eastAsia="宋体" w:cs="Arial"/>
                <w:b w:val="0"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中国惠普有限公司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98寸带摄像头会议平板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MAXHUB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广州视源电子科技股份有限公司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类似于所列品牌产品中的优等品或同等档次、质量为优等品的其他品牌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索尼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eastAsia="zh-CN"/>
              </w:rPr>
              <w:t>索尼（中国）有限公司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0" w:type="dxa"/>
          <w:trHeight w:val="508" w:hRule="atLeast"/>
        </w:trPr>
        <w:tc>
          <w:tcPr>
            <w:tcW w:w="81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</w:p>
        </w:tc>
        <w:tc>
          <w:tcPr>
            <w:tcW w:w="159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尚为伟业</w:t>
            </w:r>
          </w:p>
        </w:tc>
        <w:tc>
          <w:tcPr>
            <w:tcW w:w="32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/>
                <w:i w:val="0"/>
                <w:iCs w:val="0"/>
                <w:caps w:val="0"/>
                <w:color w:val="666666"/>
                <w:spacing w:val="0"/>
                <w:sz w:val="24"/>
                <w:szCs w:val="24"/>
              </w:rPr>
              <w:t>深圳市尚为伟业有限公司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60" w:lineRule="auto"/>
        <w:ind w:firstLine="472" w:firstLineChars="200"/>
        <w:rPr>
          <w:rFonts w:ascii="宋体" w:hAnsi="宋体" w:cs="宋体"/>
          <w:spacing w:val="-2"/>
          <w:sz w:val="24"/>
        </w:rPr>
      </w:pPr>
      <w:r>
        <w:rPr>
          <w:rFonts w:hint="eastAsia" w:ascii="宋体" w:hAnsi="宋体" w:cs="宋体"/>
          <w:spacing w:val="-2"/>
          <w:sz w:val="24"/>
        </w:rPr>
        <w:t>注:承包人提供的材料、设备品牌应为《类似材料、设备品牌一览表》中供应厂家或其控股、授权单位生产的正品。</w:t>
      </w:r>
    </w:p>
    <w:p>
      <w:pPr>
        <w:spacing w:line="360" w:lineRule="auto"/>
        <w:jc w:val="both"/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</w:pPr>
    </w:p>
    <w:p>
      <w:pPr>
        <w:spacing w:line="360" w:lineRule="auto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江苏</w:t>
      </w:r>
      <w:r>
        <w:rPr>
          <w:rFonts w:hint="eastAsia" w:ascii="宋体" w:hAnsi="宋体" w:cs="宋体"/>
          <w:sz w:val="24"/>
          <w:lang w:val="en-US" w:eastAsia="zh-CN"/>
        </w:rPr>
        <w:t>天平工程项目管理</w:t>
      </w:r>
      <w:r>
        <w:rPr>
          <w:rFonts w:hint="eastAsia" w:ascii="宋体" w:hAnsi="宋体" w:cs="宋体"/>
          <w:sz w:val="24"/>
        </w:rPr>
        <w:t>有限公司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2023年7月24日</w:t>
      </w:r>
    </w:p>
    <w:p>
      <w:pPr>
        <w:widowControl w:val="0"/>
        <w:numPr>
          <w:ilvl w:val="0"/>
          <w:numId w:val="0"/>
        </w:numPr>
        <w:spacing w:line="520" w:lineRule="exact"/>
        <w:jc w:val="left"/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  <w:lang w:val="en-US" w:eastAsia="zh-CN" w:bidi="ar"/>
        </w:rPr>
        <w:t xml:space="preserve">                  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D8538"/>
    <w:multiLevelType w:val="singleLevel"/>
    <w:tmpl w:val="DBAD85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6F28F4"/>
    <w:multiLevelType w:val="singleLevel"/>
    <w:tmpl w:val="096F28F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0FAFD0A"/>
    <w:multiLevelType w:val="singleLevel"/>
    <w:tmpl w:val="30FAF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GEwZTgyNWEyOGIzM2JlOTYwNWY0NDM1NTViMDgifQ=="/>
  </w:docVars>
  <w:rsids>
    <w:rsidRoot w:val="414F3CEB"/>
    <w:rsid w:val="053E1740"/>
    <w:rsid w:val="070D6D82"/>
    <w:rsid w:val="08B66FA6"/>
    <w:rsid w:val="09D65B51"/>
    <w:rsid w:val="0D1D0AA1"/>
    <w:rsid w:val="0D913B3D"/>
    <w:rsid w:val="154760BD"/>
    <w:rsid w:val="158E72E0"/>
    <w:rsid w:val="1719707D"/>
    <w:rsid w:val="175056B1"/>
    <w:rsid w:val="18B402D6"/>
    <w:rsid w:val="1E1B192D"/>
    <w:rsid w:val="286E49FE"/>
    <w:rsid w:val="2CD208DD"/>
    <w:rsid w:val="2D354153"/>
    <w:rsid w:val="2F30148E"/>
    <w:rsid w:val="33C968F0"/>
    <w:rsid w:val="34502EB2"/>
    <w:rsid w:val="351712ED"/>
    <w:rsid w:val="37A760BF"/>
    <w:rsid w:val="38F512A1"/>
    <w:rsid w:val="39D034A3"/>
    <w:rsid w:val="414F3CEB"/>
    <w:rsid w:val="42270574"/>
    <w:rsid w:val="4374581B"/>
    <w:rsid w:val="46C71F92"/>
    <w:rsid w:val="47DE184B"/>
    <w:rsid w:val="496F1539"/>
    <w:rsid w:val="4C0F79D9"/>
    <w:rsid w:val="4F5F0DCA"/>
    <w:rsid w:val="55B7621E"/>
    <w:rsid w:val="5B635E7A"/>
    <w:rsid w:val="5C865AFB"/>
    <w:rsid w:val="5D211DB5"/>
    <w:rsid w:val="61142395"/>
    <w:rsid w:val="65201694"/>
    <w:rsid w:val="65D273AB"/>
    <w:rsid w:val="66F73B07"/>
    <w:rsid w:val="6B2A3F7F"/>
    <w:rsid w:val="6B8B7C1F"/>
    <w:rsid w:val="6F5B5FDC"/>
    <w:rsid w:val="727A5D97"/>
    <w:rsid w:val="7A3505DD"/>
    <w:rsid w:val="7BDC717B"/>
    <w:rsid w:val="7C01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qFormat/>
    <w:uiPriority w:val="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2838</Words>
  <Characters>2969</Characters>
  <Lines>0</Lines>
  <Paragraphs>0</Paragraphs>
  <TotalTime>0</TotalTime>
  <ScaleCrop>false</ScaleCrop>
  <LinksUpToDate>false</LinksUpToDate>
  <CharactersWithSpaces>3039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2023-02-24T16:41:00Z</dcterms:created>
  <dc:creator>温酒煮核弹</dc:creator>
  <cp:lastModifiedBy>温酒煮核弹</cp:lastModifiedBy>
  <dcterms:modified xsi:type="dcterms:W3CDTF">2023-07-24T09:19:53Z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B4323E3FA28340FB9AFB9B70C754BC18_13</vt:lpwstr>
  </property>
</Properties>
</file>