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  <w:t>溧城街道新时代文明实践中心改造项目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  <w:t>编制说明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工程概况</w:t>
      </w:r>
    </w:p>
    <w:p>
      <w:pPr>
        <w:numPr>
          <w:ilvl w:val="0"/>
          <w:numId w:val="2"/>
        </w:numPr>
        <w:spacing w:line="520" w:lineRule="exact"/>
        <w:ind w:left="425" w:leftChars="0" w:firstLineChars="0"/>
        <w:jc w:val="left"/>
        <w:rPr>
          <w:rFonts w:hint="default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  <w:t>本工程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val="en-US" w:eastAsia="zh-CN" w:bidi="ar"/>
        </w:rPr>
        <w:t>为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  <w:t>溧城街道新时代文明实践中心改造项目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val="en-US" w:eastAsia="zh-CN" w:bidi="ar"/>
        </w:rPr>
        <w:t>。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  <w:t>编制内容包括：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val="en-US" w:eastAsia="zh-CN" w:bidi="ar"/>
        </w:rPr>
        <w:t>拆除工程、改造装修、安装工程等 。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编制依据</w:t>
      </w:r>
    </w:p>
    <w:p>
      <w:pPr>
        <w:numPr>
          <w:ilvl w:val="0"/>
          <w:numId w:val="0"/>
        </w:numPr>
        <w:spacing w:line="520" w:lineRule="exact"/>
        <w:ind w:leftChars="0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</w:pPr>
      <w:bookmarkStart w:id="0" w:name="OLE_LINK1"/>
      <w:bookmarkStart w:id="1" w:name="OLE_LINK2"/>
      <w:r>
        <w:rPr>
          <w:rFonts w:hint="eastAsia" w:asciiTheme="minorEastAsia" w:hAnsiTheme="minorEastAsia" w:cstheme="minorEastAsia"/>
          <w:kern w:val="0"/>
          <w:sz w:val="24"/>
          <w:szCs w:val="24"/>
          <w:lang w:val="en-US" w:eastAsia="zh-CN" w:bidi="ar"/>
        </w:rPr>
        <w:t>1、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  <w:t>《建设工程工程量清单计价规范》（GB50500-2013）</w:t>
      </w:r>
      <w:bookmarkEnd w:id="0"/>
      <w:bookmarkEnd w:id="1"/>
    </w:p>
    <w:p>
      <w:pPr>
        <w:numPr>
          <w:ilvl w:val="0"/>
          <w:numId w:val="0"/>
        </w:numPr>
        <w:spacing w:line="520" w:lineRule="exact"/>
        <w:ind w:leftChars="0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cstheme="minorEastAsia"/>
          <w:kern w:val="0"/>
          <w:sz w:val="24"/>
          <w:szCs w:val="24"/>
          <w:lang w:val="en-US" w:eastAsia="zh-CN" w:bidi="ar"/>
        </w:rPr>
        <w:t>2、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  <w:t>《房屋建筑与装饰工程工程量计算规范》(GB50854-2013)</w:t>
      </w:r>
    </w:p>
    <w:p>
      <w:pPr>
        <w:numPr>
          <w:ilvl w:val="0"/>
          <w:numId w:val="0"/>
        </w:numPr>
        <w:spacing w:line="520" w:lineRule="exact"/>
        <w:ind w:leftChars="0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cstheme="minorEastAsia"/>
          <w:kern w:val="0"/>
          <w:sz w:val="24"/>
          <w:szCs w:val="24"/>
          <w:lang w:val="en-US" w:eastAsia="zh-CN" w:bidi="ar"/>
        </w:rPr>
        <w:t>3、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  <w:t>《江苏省建设工程费用定额（2014年）营改增</w:t>
      </w:r>
    </w:p>
    <w:p>
      <w:pPr>
        <w:numPr>
          <w:ilvl w:val="0"/>
          <w:numId w:val="2"/>
        </w:numPr>
        <w:spacing w:line="520" w:lineRule="exact"/>
        <w:ind w:left="425" w:leftChars="0" w:firstLineChars="0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  <w:t>《江苏省市政工程计价定额》（2014年版）</w:t>
      </w:r>
    </w:p>
    <w:p>
      <w:pPr>
        <w:numPr>
          <w:ilvl w:val="0"/>
          <w:numId w:val="0"/>
        </w:numPr>
        <w:spacing w:line="520" w:lineRule="exact"/>
        <w:ind w:leftChars="0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Theme="minorEastAsia" w:hAnsiTheme="minorEastAsia" w:cstheme="minorEastAsia"/>
          <w:kern w:val="0"/>
          <w:sz w:val="24"/>
          <w:szCs w:val="24"/>
          <w:lang w:val="en-US" w:eastAsia="zh-CN" w:bidi="ar"/>
        </w:rPr>
        <w:t>4、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  <w:t>《江苏省建筑与装饰工程计价定额》（</w:t>
      </w:r>
      <w:r>
        <w:rPr>
          <w:rFonts w:hint="eastAsia" w:asciiTheme="minorEastAsia" w:hAnsiTheme="minorEastAsia" w:cstheme="minorEastAsia"/>
          <w:kern w:val="0"/>
          <w:sz w:val="24"/>
          <w:szCs w:val="24"/>
          <w:highlight w:val="none"/>
          <w:lang w:val="en-US" w:eastAsia="zh-CN" w:bidi="ar"/>
        </w:rPr>
        <w:t>2014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  <w:t>年版）</w:t>
      </w:r>
    </w:p>
    <w:p>
      <w:pPr>
        <w:numPr>
          <w:ilvl w:val="0"/>
          <w:numId w:val="0"/>
        </w:numPr>
        <w:spacing w:line="520" w:lineRule="exact"/>
        <w:ind w:leftChars="0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Theme="minorEastAsia" w:hAnsiTheme="minorEastAsia" w:cstheme="minorEastAsia"/>
          <w:kern w:val="0"/>
          <w:sz w:val="24"/>
          <w:szCs w:val="24"/>
          <w:highlight w:val="none"/>
          <w:lang w:val="en-US" w:eastAsia="zh-CN" w:bidi="ar"/>
        </w:rPr>
        <w:t>5、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  <w:t>江苏省建设工程人工工资指导价，苏建函价〔202</w:t>
      </w:r>
      <w:r>
        <w:rPr>
          <w:rFonts w:hint="eastAsia" w:asciiTheme="minorEastAsia" w:hAnsiTheme="minorEastAsia" w:cstheme="minorEastAsia"/>
          <w:kern w:val="0"/>
          <w:sz w:val="24"/>
          <w:szCs w:val="24"/>
          <w:highlight w:val="none"/>
          <w:lang w:val="en-US" w:eastAsia="zh-CN" w:bidi="ar"/>
        </w:rPr>
        <w:t>3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  <w:t>〕</w:t>
      </w:r>
      <w:r>
        <w:rPr>
          <w:rFonts w:hint="eastAsia" w:asciiTheme="minorEastAsia" w:hAnsiTheme="minorEastAsia" w:cstheme="minorEastAsia"/>
          <w:kern w:val="0"/>
          <w:sz w:val="24"/>
          <w:szCs w:val="24"/>
          <w:highlight w:val="none"/>
          <w:lang w:val="en-US" w:eastAsia="zh-CN" w:bidi="ar"/>
        </w:rPr>
        <w:t>63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  <w:t>号</w:t>
      </w:r>
    </w:p>
    <w:p>
      <w:pPr>
        <w:numPr>
          <w:ilvl w:val="0"/>
          <w:numId w:val="0"/>
        </w:numPr>
        <w:spacing w:line="520" w:lineRule="exact"/>
        <w:ind w:leftChars="0"/>
        <w:jc w:val="left"/>
        <w:rPr>
          <w:rFonts w:hint="default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Theme="minorEastAsia" w:hAnsiTheme="minorEastAsia" w:cstheme="minorEastAsia"/>
          <w:kern w:val="0"/>
          <w:sz w:val="24"/>
          <w:szCs w:val="24"/>
          <w:highlight w:val="none"/>
          <w:lang w:val="en-US" w:eastAsia="zh-CN" w:bidi="ar"/>
        </w:rPr>
        <w:t>6、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  <w:t>江苏省</w:t>
      </w:r>
      <w:r>
        <w:rPr>
          <w:rFonts w:hint="eastAsia" w:asciiTheme="minorEastAsia" w:hAnsiTheme="minorEastAsia" w:cstheme="minorEastAsia"/>
          <w:kern w:val="0"/>
          <w:sz w:val="24"/>
          <w:szCs w:val="24"/>
          <w:highlight w:val="none"/>
          <w:lang w:val="en-US" w:eastAsia="zh-CN" w:bidi="ar"/>
        </w:rPr>
        <w:t>常州市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  <w:t>工程造价信息指导价2023第</w:t>
      </w:r>
      <w:r>
        <w:rPr>
          <w:rFonts w:hint="eastAsia" w:asciiTheme="minorEastAsia" w:hAnsiTheme="minorEastAsia" w:cstheme="minorEastAsia"/>
          <w:kern w:val="0"/>
          <w:sz w:val="24"/>
          <w:szCs w:val="24"/>
          <w:highlight w:val="none"/>
          <w:lang w:val="en-US" w:eastAsia="zh-CN" w:bidi="ar"/>
        </w:rPr>
        <w:t>6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  <w:t>期</w:t>
      </w: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default" w:asciiTheme="minorEastAsia" w:hAnsiTheme="minorEastAsia" w:cstheme="minorEastAsia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highlight w:val="none"/>
          <w:lang w:val="en-US" w:eastAsia="zh-CN"/>
        </w:rPr>
        <w:t>工程取费说明</w:t>
      </w:r>
    </w:p>
    <w:tbl>
      <w:tblPr>
        <w:tblStyle w:val="5"/>
        <w:tblpPr w:leftFromText="180" w:rightFromText="180" w:vertAnchor="text" w:horzAnchor="page" w:tblpX="1335" w:tblpY="671"/>
        <w:tblOverlap w:val="never"/>
        <w:tblW w:w="95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5"/>
        <w:gridCol w:w="4087"/>
        <w:gridCol w:w="1545"/>
        <w:gridCol w:w="17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215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名称</w:t>
            </w:r>
          </w:p>
        </w:tc>
        <w:tc>
          <w:tcPr>
            <w:tcW w:w="408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取费基数</w:t>
            </w:r>
          </w:p>
        </w:tc>
        <w:tc>
          <w:tcPr>
            <w:tcW w:w="1545" w:type="dxa"/>
            <w:vAlign w:val="center"/>
          </w:tcPr>
          <w:p>
            <w:pPr>
              <w:tabs>
                <w:tab w:val="left" w:pos="402"/>
              </w:tabs>
              <w:jc w:val="center"/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装饰工程（%）</w:t>
            </w:r>
          </w:p>
        </w:tc>
        <w:tc>
          <w:tcPr>
            <w:tcW w:w="1755" w:type="dxa"/>
            <w:vAlign w:val="center"/>
          </w:tcPr>
          <w:p>
            <w:pPr>
              <w:tabs>
                <w:tab w:val="left" w:pos="402"/>
              </w:tabs>
              <w:jc w:val="center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安装工程（%）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</w:trPr>
        <w:tc>
          <w:tcPr>
            <w:tcW w:w="215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管理费</w:t>
            </w:r>
          </w:p>
        </w:tc>
        <w:tc>
          <w:tcPr>
            <w:tcW w:w="408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人工费+机械费</w:t>
            </w:r>
            <w:r>
              <w:rPr>
                <w:rFonts w:hint="eastAsia" w:ascii="宋体" w:hAnsi="宋体" w:eastAsia="宋体" w:cs="宋体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安装工程只计取人工费</w:t>
            </w:r>
            <w:r>
              <w:rPr>
                <w:rFonts w:hint="eastAsia" w:ascii="宋体" w:hAnsi="宋体" w:eastAsia="宋体" w:cs="宋体"/>
                <w:sz w:val="24"/>
                <w:highlight w:val="none"/>
                <w:lang w:eastAsia="zh-CN"/>
              </w:rPr>
              <w:t>）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43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215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利润</w:t>
            </w:r>
          </w:p>
        </w:tc>
        <w:tc>
          <w:tcPr>
            <w:tcW w:w="408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人工费+机械费</w:t>
            </w:r>
            <w:r>
              <w:rPr>
                <w:rFonts w:hint="eastAsia" w:ascii="宋体" w:hAnsi="宋体" w:eastAsia="宋体" w:cs="宋体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安装工程只计取人工费</w:t>
            </w:r>
            <w:r>
              <w:rPr>
                <w:rFonts w:hint="eastAsia" w:ascii="宋体" w:hAnsi="宋体" w:eastAsia="宋体" w:cs="宋体"/>
                <w:sz w:val="24"/>
                <w:highlight w:val="none"/>
                <w:lang w:eastAsia="zh-CN"/>
              </w:rPr>
              <w:t>）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15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215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现场安全文明施工基本费</w:t>
            </w:r>
          </w:p>
        </w:tc>
        <w:tc>
          <w:tcPr>
            <w:tcW w:w="408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分部分项工程费+单价措施项目费-除税工程设备费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1.7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215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扬尘污染防治增加费</w:t>
            </w:r>
          </w:p>
        </w:tc>
        <w:tc>
          <w:tcPr>
            <w:tcW w:w="408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分部分项工程费+单价措施项目费-除税工程设备费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0.22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0.21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215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临时设施费</w:t>
            </w:r>
          </w:p>
        </w:tc>
        <w:tc>
          <w:tcPr>
            <w:tcW w:w="408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分部分项工程费+单价措施项目费-除税工程设备费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215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建筑工人实名制费用</w:t>
            </w:r>
          </w:p>
        </w:tc>
        <w:tc>
          <w:tcPr>
            <w:tcW w:w="408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分部分项工程费+单价措施项目费-除税工程设备费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0.03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0.03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215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社会保险费</w:t>
            </w:r>
          </w:p>
        </w:tc>
        <w:tc>
          <w:tcPr>
            <w:tcW w:w="408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分部分项工程费+措施项目费+其他项目费-除税工程设备费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2.4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215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住房公积金</w:t>
            </w:r>
          </w:p>
        </w:tc>
        <w:tc>
          <w:tcPr>
            <w:tcW w:w="408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分部分项工程费+措施项目费+其他项目费-除税工程设备费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0.42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0.42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215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税金</w:t>
            </w:r>
          </w:p>
        </w:tc>
        <w:tc>
          <w:tcPr>
            <w:tcW w:w="408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分部分项工程费+措施项目费+其他项目费+规费-除税甲供材料和甲供设备费/1.01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9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9</w:t>
            </w:r>
          </w:p>
        </w:tc>
      </w:tr>
    </w:tbl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四：其它</w:t>
      </w:r>
    </w:p>
    <w:p>
      <w:pPr>
        <w:widowControl w:val="0"/>
        <w:numPr>
          <w:ilvl w:val="0"/>
          <w:numId w:val="3"/>
        </w:numPr>
        <w:spacing w:line="520" w:lineRule="exact"/>
        <w:jc w:val="left"/>
        <w:rPr>
          <w:rFonts w:hint="eastAsia"/>
          <w:lang w:val="en-US" w:eastAsia="zh-CN"/>
        </w:rPr>
      </w:pPr>
      <w:r>
        <w:rPr>
          <w:rFonts w:hint="eastAsia" w:asciiTheme="minorEastAsia" w:hAnsiTheme="minorEastAsia" w:cstheme="minorEastAsia"/>
          <w:kern w:val="0"/>
          <w:sz w:val="24"/>
          <w:szCs w:val="24"/>
          <w:highlight w:val="none"/>
          <w:lang w:val="en-US" w:eastAsia="zh-CN" w:bidi="ar"/>
        </w:rPr>
        <w:t>本项目工程量是以设计图纸结合使用需求为依据计算的暂估工程量，结算时以实际发生工程量为准；</w:t>
      </w:r>
    </w:p>
    <w:p>
      <w:pPr>
        <w:widowControl w:val="0"/>
        <w:numPr>
          <w:ilvl w:val="0"/>
          <w:numId w:val="3"/>
        </w:numPr>
        <w:spacing w:line="520" w:lineRule="exact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Theme="minorEastAsia" w:hAnsiTheme="minorEastAsia" w:cstheme="minorEastAsia"/>
          <w:kern w:val="0"/>
          <w:sz w:val="24"/>
          <w:szCs w:val="24"/>
          <w:highlight w:val="none"/>
          <w:lang w:val="en-US" w:eastAsia="zh-CN" w:bidi="ar"/>
        </w:rPr>
        <w:t>本工程暂列金详见清单计价文件；</w:t>
      </w:r>
    </w:p>
    <w:p>
      <w:pPr>
        <w:widowControl w:val="0"/>
        <w:numPr>
          <w:ilvl w:val="0"/>
          <w:numId w:val="3"/>
        </w:numPr>
        <w:spacing w:line="520" w:lineRule="exact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cs="宋体"/>
          <w:sz w:val="24"/>
          <w:lang w:val="en-US" w:eastAsia="zh-CN"/>
        </w:rPr>
        <w:t>本工程所涉及的拆除项目均综合考虑，，施工单位拆除搬运时需向甲方确认，按照甲方要求对室内进行拆除，搬运；</w:t>
      </w:r>
    </w:p>
    <w:p>
      <w:pPr>
        <w:widowControl w:val="0"/>
        <w:numPr>
          <w:ilvl w:val="0"/>
          <w:numId w:val="3"/>
        </w:numPr>
        <w:spacing w:line="52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砂浆暂按预拌砂浆考虑；</w:t>
      </w:r>
    </w:p>
    <w:p>
      <w:pPr>
        <w:widowControl w:val="0"/>
        <w:numPr>
          <w:ilvl w:val="0"/>
          <w:numId w:val="3"/>
        </w:numPr>
        <w:spacing w:line="52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木饰面厚度暂按12mm考虑；</w:t>
      </w:r>
    </w:p>
    <w:p>
      <w:pPr>
        <w:widowControl w:val="0"/>
        <w:numPr>
          <w:ilvl w:val="0"/>
          <w:numId w:val="3"/>
        </w:numPr>
        <w:spacing w:line="52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部分柜体配有</w:t>
      </w:r>
      <w:bookmarkStart w:id="2" w:name="_GoBack"/>
      <w:bookmarkEnd w:id="2"/>
      <w:r>
        <w:rPr>
          <w:rFonts w:hint="eastAsia" w:ascii="宋体" w:hAnsi="宋体" w:cs="宋体"/>
          <w:sz w:val="24"/>
          <w:lang w:val="en-US" w:eastAsia="zh-CN"/>
        </w:rPr>
        <w:t>少量面板，面板单价已综合考虑在柜体单价内；</w:t>
      </w:r>
    </w:p>
    <w:p>
      <w:pPr>
        <w:widowControl w:val="0"/>
        <w:numPr>
          <w:ilvl w:val="0"/>
          <w:numId w:val="3"/>
        </w:numPr>
        <w:spacing w:line="52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天棚考虑2遍喷黑涂料，暂不考虑基层腻子；</w:t>
      </w:r>
    </w:p>
    <w:p>
      <w:pPr>
        <w:widowControl w:val="0"/>
        <w:numPr>
          <w:ilvl w:val="0"/>
          <w:numId w:val="3"/>
        </w:numPr>
        <w:spacing w:line="52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利用原有消防系统，新增三只灭火器，灭火器型号暂按MF/ABC4型考虑；</w:t>
      </w:r>
    </w:p>
    <w:p>
      <w:pPr>
        <w:widowControl w:val="0"/>
        <w:numPr>
          <w:ilvl w:val="0"/>
          <w:numId w:val="3"/>
        </w:numPr>
        <w:spacing w:line="52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洽谈区落地灯安装系统图纸中无体现，效果图纸有，本预算暂不考虑在内；</w:t>
      </w:r>
    </w:p>
    <w:p>
      <w:pPr>
        <w:widowControl w:val="0"/>
        <w:numPr>
          <w:ilvl w:val="0"/>
          <w:numId w:val="3"/>
        </w:numPr>
        <w:spacing w:line="520" w:lineRule="exact"/>
        <w:jc w:val="left"/>
        <w:rPr>
          <w:rFonts w:ascii="宋体" w:hAnsi="宋体" w:cs="宋体"/>
          <w:sz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  <w:t>本工程推荐</w:t>
      </w:r>
      <w:r>
        <w:rPr>
          <w:rFonts w:hint="eastAsia" w:ascii="宋体" w:hAnsi="宋体" w:cs="宋体"/>
          <w:sz w:val="24"/>
        </w:rPr>
        <w:t>使用品牌见“类似材料、设备品牌一览表”，投标单位可使用“类似材料、设备品牌一览表”中的优等品或同等档次、质量为优等品的其他品牌，如投标人拟在推荐所有材料品牌外自行选择品牌，须在投标人要求澄清招标文件的截止时间前提出，招标人将对该品牌的性能、技术指标、技术参数、质量、使用寿命等方面进行审查，如该品牌均不低于可选品牌相应性能、技术指标、技术参数、质量、使用寿命等方面的要求，招标人将补充该品牌至招标文件推荐品牌中，并以招标文件补充文件形式公开发布至所有投标人。投标人在投标时应明确所选的材料品牌，如果投标人在投标文件中未明确材料品牌，中标后由中标人与招标人协商，在招标人提供的“类似材料、设备品牌一览表”中选择材料品牌，且投标报价不作调整。</w:t>
      </w:r>
    </w:p>
    <w:p>
      <w:pPr>
        <w:pStyle w:val="2"/>
        <w:rPr>
          <w:rFonts w:hint="eastAsia" w:ascii="宋体" w:hAnsi="宋体" w:cs="宋体"/>
          <w:sz w:val="24"/>
        </w:rPr>
      </w:pPr>
    </w:p>
    <w:p>
      <w:pPr>
        <w:rPr>
          <w:rFonts w:hint="eastAsia" w:ascii="宋体" w:hAnsi="宋体" w:cs="宋体"/>
          <w:sz w:val="24"/>
        </w:rPr>
      </w:pPr>
    </w:p>
    <w:p>
      <w:pPr>
        <w:pStyle w:val="2"/>
        <w:rPr>
          <w:rFonts w:hint="eastAsia" w:ascii="宋体" w:hAnsi="宋体" w:cs="宋体"/>
          <w:sz w:val="24"/>
        </w:rPr>
      </w:pPr>
    </w:p>
    <w:p>
      <w:pPr>
        <w:rPr>
          <w:rFonts w:hint="eastAsia" w:ascii="宋体" w:hAnsi="宋体" w:cs="宋体"/>
          <w:sz w:val="24"/>
        </w:rPr>
      </w:pPr>
    </w:p>
    <w:p>
      <w:pPr>
        <w:pStyle w:val="2"/>
        <w:rPr>
          <w:rFonts w:hint="eastAsia"/>
        </w:rPr>
      </w:pPr>
    </w:p>
    <w:p/>
    <w:p>
      <w:pPr>
        <w:spacing w:line="360" w:lineRule="auto"/>
        <w:jc w:val="right"/>
        <w:rPr>
          <w:rFonts w:hint="eastAsia" w:asciiTheme="minorEastAsia" w:hAnsiTheme="minorEastAsia" w:cstheme="minorEastAsia"/>
          <w:kern w:val="0"/>
          <w:sz w:val="24"/>
          <w:szCs w:val="24"/>
          <w:lang w:val="en-US" w:eastAsia="zh-CN" w:bidi="ar"/>
        </w:rPr>
      </w:pPr>
    </w:p>
    <w:tbl>
      <w:tblPr>
        <w:tblStyle w:val="4"/>
        <w:tblW w:w="9840" w:type="dxa"/>
        <w:tblInd w:w="-47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1440"/>
        <w:gridCol w:w="1590"/>
        <w:gridCol w:w="3225"/>
        <w:gridCol w:w="2205"/>
        <w:gridCol w:w="57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84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6"/>
                <w:szCs w:val="36"/>
              </w:rPr>
              <w:t>类似材料、设备品牌一览表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673" w:hRule="atLeast"/>
        </w:trPr>
        <w:tc>
          <w:tcPr>
            <w:tcW w:w="81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144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材料、设备名称</w:t>
            </w: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品牌（简称）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供应厂家</w:t>
            </w:r>
          </w:p>
        </w:tc>
        <w:tc>
          <w:tcPr>
            <w:tcW w:w="220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restart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color w:val="000000"/>
                <w:kern w:val="0"/>
                <w:sz w:val="24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1</w:t>
            </w:r>
          </w:p>
        </w:tc>
        <w:tc>
          <w:tcPr>
            <w:tcW w:w="1440" w:type="dxa"/>
            <w:vMerge w:val="restart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水泥</w:t>
            </w: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扬子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江苏扬子水泥有限公司</w:t>
            </w:r>
          </w:p>
        </w:tc>
        <w:tc>
          <w:tcPr>
            <w:tcW w:w="2205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类似于所列品牌产品中的优等品或同等档次、质量为优等品的其他品牌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金峰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江苏金峰水泥集团有限公司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南方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南方水泥有限公司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restart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color w:val="000000"/>
                <w:kern w:val="0"/>
                <w:sz w:val="24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2</w:t>
            </w:r>
          </w:p>
        </w:tc>
        <w:tc>
          <w:tcPr>
            <w:tcW w:w="1440" w:type="dxa"/>
            <w:vMerge w:val="restart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内、外墙涂料（含真石漆）</w:t>
            </w: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立邦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立邦涂料（中国）有限公司</w:t>
            </w:r>
          </w:p>
        </w:tc>
        <w:tc>
          <w:tcPr>
            <w:tcW w:w="2205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类似于所列品牌产品中的优等品或同等档次、质量为优等品的其他品牌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多乐士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阿克苏诺贝尔漆油（上海）有限公司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三棵树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三棵树涂料股份有限公司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restart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color w:val="000000"/>
                <w:kern w:val="0"/>
                <w:sz w:val="24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3</w:t>
            </w:r>
          </w:p>
        </w:tc>
        <w:tc>
          <w:tcPr>
            <w:tcW w:w="1440" w:type="dxa"/>
            <w:vMerge w:val="restart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地砖、墙砖</w:t>
            </w: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Arial"/>
                <w:color w:val="333333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冠军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Arial"/>
                <w:color w:val="333333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信益陶瓷（中国）有限公司</w:t>
            </w:r>
          </w:p>
        </w:tc>
        <w:tc>
          <w:tcPr>
            <w:tcW w:w="2205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类似于所列品牌产品中的优等品或同等档次、质量为优等品的其他品牌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Arial"/>
                <w:color w:val="333333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罗马利奥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Arial"/>
                <w:color w:val="333333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广东冠星陶瓷企业有限公司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马可波罗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广东唯美陶瓷有限公司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restart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color w:val="000000"/>
                <w:kern w:val="0"/>
                <w:sz w:val="24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4</w:t>
            </w:r>
          </w:p>
        </w:tc>
        <w:tc>
          <w:tcPr>
            <w:tcW w:w="1440" w:type="dxa"/>
            <w:vMerge w:val="restart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门锁及五金</w:t>
            </w: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坚朗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东莞市坚朗五金制品有限公司</w:t>
            </w:r>
          </w:p>
        </w:tc>
        <w:tc>
          <w:tcPr>
            <w:tcW w:w="2205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类似于所列品牌产品中的优等品或同等档次、质量为优等品的其他品牌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名门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广东名门锁业有限公司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顶固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广东</w:t>
            </w:r>
            <w: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  <w:t>顶固集创家居股份有限公司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restart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color w:val="000000"/>
                <w:kern w:val="0"/>
                <w:sz w:val="24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5</w:t>
            </w:r>
          </w:p>
        </w:tc>
        <w:tc>
          <w:tcPr>
            <w:tcW w:w="1440" w:type="dxa"/>
            <w:vMerge w:val="restart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轻钢龙骨、石膏板</w:t>
            </w: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可耐福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可耐福石膏板（江苏）有限公司</w:t>
            </w:r>
          </w:p>
        </w:tc>
        <w:tc>
          <w:tcPr>
            <w:tcW w:w="2205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类似于所列品牌产品中的优等品或同等档次、质量为优等品的其他品牌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龙牌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北新建材集团股份有限公司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拉法基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博罗拉法基建材（深圳）有限公司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restart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 w:eastAsiaTheme="minorEastAsia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6</w:t>
            </w:r>
          </w:p>
        </w:tc>
        <w:tc>
          <w:tcPr>
            <w:tcW w:w="1440" w:type="dxa"/>
            <w:vMerge w:val="restar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木工板、多层板、木饰面板、阻燃板</w:t>
            </w: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千年舟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千年舟板材有限公司</w:t>
            </w:r>
          </w:p>
        </w:tc>
        <w:tc>
          <w:tcPr>
            <w:tcW w:w="2205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类似于所列品牌产品中的优等品或同等档次、质量为优等品的其他品牌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兔宝宝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德华兔宝宝装饰新材股份有限公司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90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莫干山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浙江云峰莫干山装饰工程有限公司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restart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7</w:t>
            </w:r>
          </w:p>
        </w:tc>
        <w:tc>
          <w:tcPr>
            <w:tcW w:w="1440" w:type="dxa"/>
            <w:vMerge w:val="restart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电线、电缆</w:t>
            </w: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上上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江苏上上电缆集团公司</w:t>
            </w:r>
          </w:p>
        </w:tc>
        <w:tc>
          <w:tcPr>
            <w:tcW w:w="2205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类似于所列品牌产品中的优等品或同等档次、质量为优等品的其他品牌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608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远东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江苏远东电缆有限公司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741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熊猫</w:t>
            </w:r>
          </w:p>
        </w:tc>
        <w:tc>
          <w:tcPr>
            <w:tcW w:w="3225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上海熊猫线缆股份公司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673" w:hRule="atLeast"/>
        </w:trPr>
        <w:tc>
          <w:tcPr>
            <w:tcW w:w="810" w:type="dxa"/>
            <w:vMerge w:val="restart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8</w:t>
            </w:r>
          </w:p>
        </w:tc>
        <w:tc>
          <w:tcPr>
            <w:tcW w:w="1440" w:type="dxa"/>
            <w:vMerge w:val="restart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给排水、电工塑料管</w:t>
            </w: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伟星</w:t>
            </w:r>
          </w:p>
        </w:tc>
        <w:tc>
          <w:tcPr>
            <w:tcW w:w="3225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浙江伟星新型建材股份有限公司</w:t>
            </w:r>
          </w:p>
        </w:tc>
        <w:tc>
          <w:tcPr>
            <w:tcW w:w="2205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类似于所列品牌产品中的优等品或同等档次、质量为优等品的其他品牌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78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公元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公元塑业集团有限公司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848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中财</w:t>
            </w:r>
          </w:p>
        </w:tc>
        <w:tc>
          <w:tcPr>
            <w:tcW w:w="3225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浙江中财管道科技股份有限公司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478" w:hRule="atLeast"/>
        </w:trPr>
        <w:tc>
          <w:tcPr>
            <w:tcW w:w="81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Theme="minorEastAsia"/>
                <w:bCs/>
                <w:sz w:val="24"/>
                <w:lang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9</w:t>
            </w:r>
          </w:p>
        </w:tc>
        <w:tc>
          <w:tcPr>
            <w:tcW w:w="144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照明灯具</w:t>
            </w:r>
          </w:p>
        </w:tc>
        <w:tc>
          <w:tcPr>
            <w:tcW w:w="159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雷士</w:t>
            </w:r>
          </w:p>
        </w:tc>
        <w:tc>
          <w:tcPr>
            <w:tcW w:w="3225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惠州雷士光电科技有限公司</w:t>
            </w:r>
          </w:p>
        </w:tc>
        <w:tc>
          <w:tcPr>
            <w:tcW w:w="2205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类似于所列品牌产品中的优等品或同等档次、 质量为优等品的其他品牌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10" w:hRule="atLeast"/>
        </w:trPr>
        <w:tc>
          <w:tcPr>
            <w:tcW w:w="81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4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欧普照明</w:t>
            </w:r>
          </w:p>
        </w:tc>
        <w:tc>
          <w:tcPr>
            <w:tcW w:w="3225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广东欧普照明有限公司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692" w:hRule="atLeast"/>
        </w:trPr>
        <w:tc>
          <w:tcPr>
            <w:tcW w:w="81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4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TCL</w:t>
            </w:r>
          </w:p>
        </w:tc>
        <w:tc>
          <w:tcPr>
            <w:tcW w:w="3225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TCL集团股份有限公司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39" w:hRule="atLeast"/>
        </w:trPr>
        <w:tc>
          <w:tcPr>
            <w:tcW w:w="81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10</w:t>
            </w:r>
          </w:p>
        </w:tc>
        <w:tc>
          <w:tcPr>
            <w:tcW w:w="144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开关、插座</w:t>
            </w:r>
          </w:p>
        </w:tc>
        <w:tc>
          <w:tcPr>
            <w:tcW w:w="159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德力西</w:t>
            </w:r>
          </w:p>
        </w:tc>
        <w:tc>
          <w:tcPr>
            <w:tcW w:w="3225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中国德力西控股集团</w:t>
            </w:r>
          </w:p>
        </w:tc>
        <w:tc>
          <w:tcPr>
            <w:tcW w:w="2205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类似于所列品牌产品中的优等品或同等档次、 质量为优等品的其他品牌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22" w:hRule="atLeast"/>
        </w:trPr>
        <w:tc>
          <w:tcPr>
            <w:tcW w:w="81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4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鸿雁</w:t>
            </w:r>
          </w:p>
        </w:tc>
        <w:tc>
          <w:tcPr>
            <w:tcW w:w="3225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fldChar w:fldCharType="begin"/>
            </w:r>
            <w:r>
              <w:instrText xml:space="preserve"> HYPERLINK "https://baike.baidu.com/item/%E6%9D%AD%E5%B7%9E%E9%B8%BF%E9%9B%81%E7%94%B5%E5%99%A8%E6%9C%89%E9%99%90%E5%85%AC%E5%8F%B8/10480994" \t "https://baike.baidu.com/item/%E9%B8%BF%E9%9B%81%E7%94%B5%E5%99%A8/_blank" </w:instrText>
            </w:r>
            <w:r>
              <w:fldChar w:fldCharType="separate"/>
            </w:r>
            <w:r>
              <w:rPr>
                <w:rFonts w:hint="eastAsia" w:ascii="宋体" w:hAnsi="宋体"/>
                <w:bCs/>
                <w:sz w:val="24"/>
              </w:rPr>
              <w:t>杭州鸿雁电器有限公司</w:t>
            </w:r>
            <w:r>
              <w:rPr>
                <w:rFonts w:hint="eastAsia" w:ascii="宋体" w:hAnsi="宋体"/>
                <w:bCs/>
                <w:sz w:val="24"/>
              </w:rPr>
              <w:fldChar w:fldCharType="end"/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446" w:hRule="atLeast"/>
        </w:trPr>
        <w:tc>
          <w:tcPr>
            <w:tcW w:w="81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4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公牛</w:t>
            </w:r>
          </w:p>
        </w:tc>
        <w:tc>
          <w:tcPr>
            <w:tcW w:w="3225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公牛集团股份有限公司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456" w:hRule="atLeast"/>
        </w:trPr>
        <w:tc>
          <w:tcPr>
            <w:tcW w:w="81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11</w:t>
            </w:r>
          </w:p>
        </w:tc>
        <w:tc>
          <w:tcPr>
            <w:tcW w:w="144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配电箱元器件</w:t>
            </w:r>
          </w:p>
        </w:tc>
        <w:tc>
          <w:tcPr>
            <w:tcW w:w="159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上海人民</w:t>
            </w:r>
          </w:p>
        </w:tc>
        <w:tc>
          <w:tcPr>
            <w:tcW w:w="3225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上海人民电器厂</w:t>
            </w:r>
          </w:p>
        </w:tc>
        <w:tc>
          <w:tcPr>
            <w:tcW w:w="2205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类似于所列品牌产品中的优等品或同等档次、 质量为优等品的其他品牌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482" w:hRule="atLeast"/>
        </w:trPr>
        <w:tc>
          <w:tcPr>
            <w:tcW w:w="81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4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正泰</w:t>
            </w:r>
          </w:p>
        </w:tc>
        <w:tc>
          <w:tcPr>
            <w:tcW w:w="3225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正泰电器股份有限公司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90" w:hRule="atLeast"/>
        </w:trPr>
        <w:tc>
          <w:tcPr>
            <w:tcW w:w="81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4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德力西</w:t>
            </w:r>
          </w:p>
        </w:tc>
        <w:tc>
          <w:tcPr>
            <w:tcW w:w="3225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中国德力西控股集团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419" w:hRule="atLeast"/>
        </w:trPr>
        <w:tc>
          <w:tcPr>
            <w:tcW w:w="81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12</w:t>
            </w:r>
          </w:p>
        </w:tc>
        <w:tc>
          <w:tcPr>
            <w:tcW w:w="144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洁具（水龙头）设施</w:t>
            </w:r>
          </w:p>
        </w:tc>
        <w:tc>
          <w:tcPr>
            <w:tcW w:w="159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箭牌</w:t>
            </w:r>
          </w:p>
        </w:tc>
        <w:tc>
          <w:tcPr>
            <w:tcW w:w="3225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箭牌家居集团股份有限公司</w:t>
            </w:r>
          </w:p>
        </w:tc>
        <w:tc>
          <w:tcPr>
            <w:tcW w:w="2205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类似于所列品牌产品中的优等品或同等档次、 质量为优等品的其他品牌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419" w:hRule="atLeast"/>
        </w:trPr>
        <w:tc>
          <w:tcPr>
            <w:tcW w:w="81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4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九牧</w:t>
            </w:r>
          </w:p>
        </w:tc>
        <w:tc>
          <w:tcPr>
            <w:tcW w:w="3225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九牧</w:t>
            </w:r>
            <w:r>
              <w:rPr>
                <w:rFonts w:ascii="宋体" w:hAnsi="宋体"/>
                <w:bCs/>
                <w:sz w:val="24"/>
              </w:rPr>
              <w:t>集团有限公司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419" w:hRule="atLeast"/>
        </w:trPr>
        <w:tc>
          <w:tcPr>
            <w:tcW w:w="81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4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恒洁</w:t>
            </w:r>
          </w:p>
        </w:tc>
        <w:tc>
          <w:tcPr>
            <w:tcW w:w="3225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广东恒洁卫浴有限公司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</w:tr>
    </w:tbl>
    <w:p>
      <w:pPr>
        <w:spacing w:line="360" w:lineRule="auto"/>
        <w:ind w:firstLine="472" w:firstLineChars="200"/>
        <w:rPr>
          <w:rFonts w:ascii="宋体" w:hAnsi="宋体" w:cs="宋体"/>
          <w:spacing w:val="-2"/>
          <w:sz w:val="24"/>
        </w:rPr>
      </w:pPr>
      <w:r>
        <w:rPr>
          <w:rFonts w:hint="eastAsia" w:ascii="宋体" w:hAnsi="宋体" w:cs="宋体"/>
          <w:spacing w:val="-2"/>
          <w:sz w:val="24"/>
        </w:rPr>
        <w:t>注:承包人提供的材料、设备品牌应为《类似材料、设备品牌一览表》中供应厂家或其控股、授权单位生产的正品。</w:t>
      </w:r>
    </w:p>
    <w:p>
      <w:pPr>
        <w:spacing w:line="360" w:lineRule="auto"/>
        <w:jc w:val="both"/>
        <w:rPr>
          <w:rFonts w:hint="eastAsia" w:asciiTheme="minorEastAsia" w:hAnsiTheme="minorEastAsia" w:cstheme="minorEastAsia"/>
          <w:kern w:val="0"/>
          <w:sz w:val="24"/>
          <w:szCs w:val="24"/>
          <w:lang w:val="en-US" w:eastAsia="zh-CN" w:bidi="ar"/>
        </w:rPr>
      </w:pPr>
    </w:p>
    <w:p>
      <w:pPr>
        <w:spacing w:line="360" w:lineRule="auto"/>
        <w:jc w:val="right"/>
        <w:rPr>
          <w:rFonts w:ascii="宋体" w:hAnsi="宋体" w:cs="宋体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  <w:szCs w:val="24"/>
          <w:lang w:val="en-US" w:eastAsia="zh-CN" w:bidi="ar"/>
        </w:rPr>
        <w:t xml:space="preserve">    </w:t>
      </w:r>
      <w:r>
        <w:rPr>
          <w:rFonts w:hint="eastAsia" w:ascii="宋体" w:hAnsi="宋体" w:cs="宋体"/>
          <w:sz w:val="24"/>
        </w:rPr>
        <w:t>江苏</w:t>
      </w:r>
      <w:r>
        <w:rPr>
          <w:rFonts w:hint="eastAsia" w:ascii="宋体" w:hAnsi="宋体" w:cs="宋体"/>
          <w:sz w:val="24"/>
          <w:lang w:val="en-US" w:eastAsia="zh-CN"/>
        </w:rPr>
        <w:t>天平工程项目管理</w:t>
      </w:r>
      <w:r>
        <w:rPr>
          <w:rFonts w:hint="eastAsia" w:ascii="宋体" w:hAnsi="宋体" w:cs="宋体"/>
          <w:sz w:val="24"/>
        </w:rPr>
        <w:t>有限公司</w:t>
      </w:r>
    </w:p>
    <w:p>
      <w:pPr>
        <w:widowControl w:val="0"/>
        <w:numPr>
          <w:ilvl w:val="0"/>
          <w:numId w:val="0"/>
        </w:numPr>
        <w:spacing w:line="520" w:lineRule="exact"/>
        <w:jc w:val="left"/>
        <w:rPr>
          <w:rFonts w:hint="default" w:asciiTheme="minorEastAsia" w:hAnsiTheme="minorEastAsia" w:cstheme="minorEastAsia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cstheme="minorEastAsia"/>
          <w:kern w:val="0"/>
          <w:sz w:val="24"/>
          <w:szCs w:val="24"/>
          <w:lang w:val="en-US" w:eastAsia="zh-CN" w:bidi="ar"/>
        </w:rPr>
        <w:t xml:space="preserve">                                                 </w:t>
      </w:r>
    </w:p>
    <w:p>
      <w:pPr>
        <w:widowControl w:val="0"/>
        <w:numPr>
          <w:ilvl w:val="0"/>
          <w:numId w:val="0"/>
        </w:numPr>
        <w:spacing w:line="520" w:lineRule="exact"/>
        <w:jc w:val="left"/>
        <w:rPr>
          <w:rFonts w:hint="default" w:asciiTheme="minorEastAsia" w:hAnsiTheme="minorEastAsia" w:cstheme="minorEastAsia"/>
          <w:kern w:val="0"/>
          <w:sz w:val="24"/>
          <w:szCs w:val="24"/>
          <w:lang w:val="en-US" w:eastAsia="zh-CN" w:bidi="ar"/>
        </w:rPr>
      </w:pPr>
    </w:p>
    <w:p>
      <w:pPr>
        <w:numPr>
          <w:ilvl w:val="0"/>
          <w:numId w:val="0"/>
        </w:numPr>
        <w:spacing w:line="520" w:lineRule="exact"/>
        <w:rPr>
          <w:rFonts w:hint="default" w:ascii="宋体" w:hAnsi="宋体" w:cs="宋体"/>
          <w:sz w:val="24"/>
          <w:lang w:val="en-US"/>
        </w:rPr>
      </w:pPr>
    </w:p>
    <w:p>
      <w:pP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BAD8538"/>
    <w:multiLevelType w:val="singleLevel"/>
    <w:tmpl w:val="DBAD853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96F28F4"/>
    <w:multiLevelType w:val="singleLevel"/>
    <w:tmpl w:val="096F28F4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30FAFD0A"/>
    <w:multiLevelType w:val="singleLevel"/>
    <w:tmpl w:val="30FAFD0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FjODgyNzBmMDQ3MDBjYjc4Nzc3NGNhZjA4MTI3MjcifQ=="/>
  </w:docVars>
  <w:rsids>
    <w:rsidRoot w:val="414F3CEB"/>
    <w:rsid w:val="053E1740"/>
    <w:rsid w:val="070D6D82"/>
    <w:rsid w:val="08B66FA6"/>
    <w:rsid w:val="0AFC18C5"/>
    <w:rsid w:val="0D1D0AA1"/>
    <w:rsid w:val="0D913B3D"/>
    <w:rsid w:val="0ED939EE"/>
    <w:rsid w:val="154760BD"/>
    <w:rsid w:val="1719707D"/>
    <w:rsid w:val="175056B1"/>
    <w:rsid w:val="18B402D6"/>
    <w:rsid w:val="286E49FE"/>
    <w:rsid w:val="2D354153"/>
    <w:rsid w:val="2F30148E"/>
    <w:rsid w:val="34502EB2"/>
    <w:rsid w:val="351712ED"/>
    <w:rsid w:val="37A760BF"/>
    <w:rsid w:val="38F512A1"/>
    <w:rsid w:val="39D034A3"/>
    <w:rsid w:val="414F3CEB"/>
    <w:rsid w:val="42270574"/>
    <w:rsid w:val="4374581B"/>
    <w:rsid w:val="46C71F92"/>
    <w:rsid w:val="47DE184B"/>
    <w:rsid w:val="496F1539"/>
    <w:rsid w:val="4C0F79D9"/>
    <w:rsid w:val="4F5F0DCA"/>
    <w:rsid w:val="5B635E7A"/>
    <w:rsid w:val="5C865AFB"/>
    <w:rsid w:val="5D211DB5"/>
    <w:rsid w:val="5E6E12F7"/>
    <w:rsid w:val="60B06090"/>
    <w:rsid w:val="65201694"/>
    <w:rsid w:val="65D273AB"/>
    <w:rsid w:val="66F73B07"/>
    <w:rsid w:val="6B2A3F7F"/>
    <w:rsid w:val="6B8B7C1F"/>
    <w:rsid w:val="6D3F6A08"/>
    <w:rsid w:val="6F5B5FDC"/>
    <w:rsid w:val="727A5D97"/>
    <w:rsid w:val="75A97609"/>
    <w:rsid w:val="76C94A9D"/>
    <w:rsid w:val="7BDC717B"/>
    <w:rsid w:val="7C013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段"/>
    <w:next w:val="1"/>
    <w:qFormat/>
    <w:uiPriority w:val="0"/>
    <w:pPr>
      <w:autoSpaceDE w:val="0"/>
      <w:autoSpaceDN w:val="0"/>
      <w:adjustRightInd w:val="0"/>
      <w:snapToGrid w:val="0"/>
      <w:spacing w:line="360" w:lineRule="auto"/>
      <w:ind w:firstLine="200" w:firstLineChars="200"/>
      <w:jc w:val="both"/>
    </w:pPr>
    <w:rPr>
      <w:rFonts w:ascii="宋体" w:hAnsi="Times New Roman" w:eastAsia="宋体" w:cs="Times New Roman"/>
      <w:sz w:val="24"/>
      <w:szCs w:val="22"/>
      <w:lang w:val="en-US" w:eastAsia="zh-CN" w:bidi="ar-SA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Emphasis"/>
    <w:qFormat/>
    <w:uiPriority w:val="0"/>
    <w:rPr>
      <w:i/>
      <w:iCs/>
    </w:rPr>
  </w:style>
  <w:style w:type="paragraph" w:styleId="8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2624</Words>
  <Characters>2742</Characters>
  <Lines>0</Lines>
  <Paragraphs>0</Paragraphs>
  <TotalTime>116</TotalTime>
  <ScaleCrop>false</ScaleCrop>
  <LinksUpToDate>false</LinksUpToDate>
  <CharactersWithSpaces>2802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2023-02-24T16:41:00Z</dcterms:created>
  <dc:creator>温酒煮核弹</dc:creator>
  <cp:lastModifiedBy>温酒煮核弹</cp:lastModifiedBy>
  <dcterms:modified xsi:type="dcterms:W3CDTF">2023-07-28T06:19:01Z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15718550A238492CB69B21E4D6674DBE_13</vt:lpwstr>
  </property>
</Properties>
</file>