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center"/>
        <w:rPr>
          <w:rFonts w:hint="eastAsia"/>
          <w:b/>
          <w:bCs/>
          <w:sz w:val="32"/>
          <w:szCs w:val="32"/>
        </w:rPr>
      </w:pPr>
      <w:r>
        <w:rPr>
          <w:rFonts w:hint="eastAsia"/>
          <w:b/>
          <w:bCs/>
          <w:sz w:val="32"/>
          <w:szCs w:val="32"/>
        </w:rPr>
        <w:t>戴埠镇老街东侧东街及继善路道路改造工程</w:t>
      </w:r>
    </w:p>
    <w:p>
      <w:pPr>
        <w:spacing w:afterLines="50"/>
        <w:jc w:val="center"/>
        <w:rPr>
          <w:rFonts w:hint="eastAsia" w:ascii="宋体" w:hAnsi="宋体" w:cs="宋体"/>
          <w:b/>
          <w:bCs/>
          <w:color w:val="000000"/>
          <w:sz w:val="32"/>
          <w:szCs w:val="32"/>
        </w:rPr>
      </w:pPr>
      <w:r>
        <w:rPr>
          <w:rFonts w:hint="eastAsia" w:ascii="宋体" w:hAnsi="宋体" w:cs="宋体"/>
          <w:b/>
          <w:bCs/>
          <w:color w:val="000000"/>
          <w:sz w:val="32"/>
          <w:szCs w:val="32"/>
        </w:rPr>
        <w:t>清单与控制价编制说明</w:t>
      </w:r>
    </w:p>
    <w:p>
      <w:pPr>
        <w:spacing w:afterLines="50"/>
        <w:jc w:val="left"/>
        <w:rPr>
          <w:rFonts w:hint="eastAsia" w:cs="宋体"/>
          <w:b/>
          <w:bCs/>
          <w:color w:val="000000"/>
          <w:sz w:val="24"/>
          <w:szCs w:val="24"/>
        </w:rPr>
      </w:pPr>
      <w:r>
        <w:rPr>
          <w:rFonts w:hint="eastAsia" w:ascii="宋体" w:hAnsi="宋体" w:cs="宋体"/>
          <w:b/>
          <w:bCs/>
          <w:color w:val="000000"/>
          <w:sz w:val="24"/>
        </w:rPr>
        <w:t>工程名称：</w:t>
      </w:r>
      <w:r>
        <w:rPr>
          <w:rFonts w:hint="eastAsia"/>
          <w:b/>
          <w:bCs/>
          <w:sz w:val="24"/>
          <w:szCs w:val="24"/>
        </w:rPr>
        <w:t>戴埠镇老街东侧东街及继善路道路改造工程</w:t>
      </w:r>
    </w:p>
    <w:p>
      <w:pPr>
        <w:numPr>
          <w:ilvl w:val="0"/>
          <w:numId w:val="1"/>
        </w:numPr>
        <w:spacing w:line="360" w:lineRule="auto"/>
        <w:jc w:val="left"/>
        <w:rPr>
          <w:rFonts w:cs="宋体"/>
          <w:b/>
          <w:bCs/>
          <w:color w:val="000000"/>
          <w:sz w:val="24"/>
        </w:rPr>
      </w:pPr>
      <w:r>
        <w:rPr>
          <w:rFonts w:hint="eastAsia" w:ascii="宋体" w:hAnsi="宋体" w:cs="宋体"/>
          <w:b/>
          <w:bCs/>
          <w:color w:val="000000"/>
          <w:sz w:val="24"/>
        </w:rPr>
        <w:t>工程量清单编制依据：</w:t>
      </w:r>
    </w:p>
    <w:p>
      <w:pPr>
        <w:numPr>
          <w:ilvl w:val="0"/>
          <w:numId w:val="2"/>
        </w:numPr>
        <w:spacing w:line="360" w:lineRule="auto"/>
        <w:jc w:val="left"/>
        <w:rPr>
          <w:rFonts w:hint="eastAsia" w:asciiTheme="minorEastAsia" w:hAnsiTheme="minorEastAsia" w:cstheme="minorEastAsia"/>
          <w:bCs/>
          <w:color w:val="000000"/>
          <w:sz w:val="24"/>
          <w:lang w:val="en-US" w:eastAsia="zh-CN"/>
        </w:rPr>
      </w:pPr>
      <w:r>
        <w:rPr>
          <w:rFonts w:hint="eastAsia" w:asciiTheme="minorEastAsia" w:hAnsiTheme="minorEastAsia" w:cstheme="minorEastAsia"/>
          <w:bCs/>
          <w:color w:val="000000"/>
          <w:sz w:val="24"/>
          <w:lang w:val="en-US" w:eastAsia="zh-CN"/>
        </w:rPr>
        <w:t>江苏新世纪现代建筑设计有限公司设计的施工图纸；</w:t>
      </w:r>
    </w:p>
    <w:p>
      <w:pPr>
        <w:numPr>
          <w:ilvl w:val="0"/>
          <w:numId w:val="2"/>
        </w:numPr>
        <w:spacing w:line="360" w:lineRule="auto"/>
        <w:jc w:val="left"/>
        <w:rPr>
          <w:rFonts w:hint="eastAsia" w:ascii="宋体" w:hAnsi="宋体" w:cs="宋体"/>
          <w:color w:val="000000"/>
          <w:sz w:val="24"/>
          <w:szCs w:val="24"/>
        </w:rPr>
      </w:pPr>
      <w:r>
        <w:rPr>
          <w:rFonts w:hint="eastAsia" w:asciiTheme="minorEastAsia" w:hAnsiTheme="minorEastAsia" w:eastAsiaTheme="minorEastAsia" w:cstheme="minorEastAsia"/>
          <w:bCs/>
          <w:color w:val="000000"/>
          <w:sz w:val="24"/>
        </w:rPr>
        <w:t>《建设工程工程量清单计价规范》（GB5050</w:t>
      </w:r>
      <w:r>
        <w:rPr>
          <w:rFonts w:hint="eastAsia" w:asciiTheme="minorEastAsia" w:hAnsiTheme="minorEastAsia" w:cstheme="minorEastAsia"/>
          <w:bCs/>
          <w:color w:val="000000"/>
          <w:sz w:val="24"/>
          <w:lang w:val="en-US" w:eastAsia="zh-CN"/>
        </w:rPr>
        <w:t>0</w:t>
      </w:r>
      <w:r>
        <w:rPr>
          <w:rFonts w:hint="eastAsia" w:asciiTheme="minorEastAsia" w:hAnsiTheme="minorEastAsia" w:eastAsiaTheme="minorEastAsia" w:cstheme="minorEastAsia"/>
          <w:bCs/>
          <w:color w:val="000000"/>
          <w:sz w:val="24"/>
        </w:rPr>
        <w:t>-2013），</w:t>
      </w:r>
      <w:r>
        <w:rPr>
          <w:rFonts w:hint="eastAsia" w:ascii="宋体" w:hAnsi="宋体" w:eastAsia="宋体" w:cs="宋体"/>
          <w:color w:val="000000"/>
          <w:sz w:val="24"/>
        </w:rPr>
        <w:t>《房屋建筑与装饰工程工程量计算规范》（GB 50854—2013）、《</w:t>
      </w:r>
      <w:r>
        <w:rPr>
          <w:rFonts w:hint="eastAsia" w:ascii="宋体" w:hAnsi="宋体" w:eastAsia="宋体" w:cs="宋体"/>
          <w:bCs/>
          <w:color w:val="000000"/>
          <w:sz w:val="24"/>
          <w:szCs w:val="24"/>
          <w:lang w:eastAsia="zh-CN"/>
        </w:rPr>
        <w:t>市政</w:t>
      </w:r>
      <w:r>
        <w:rPr>
          <w:rFonts w:hint="eastAsia" w:ascii="宋体" w:hAnsi="宋体" w:eastAsia="宋体" w:cs="宋体"/>
          <w:bCs/>
          <w:color w:val="000000"/>
          <w:sz w:val="24"/>
          <w:szCs w:val="24"/>
        </w:rPr>
        <w:t>工程工程量计算规范</w:t>
      </w:r>
      <w:r>
        <w:rPr>
          <w:rFonts w:hint="eastAsia" w:ascii="宋体" w:hAnsi="宋体" w:cs="宋体"/>
          <w:color w:val="000000"/>
          <w:sz w:val="24"/>
        </w:rPr>
        <w:t>》（</w:t>
      </w:r>
      <w:r>
        <w:rPr>
          <w:rFonts w:hint="eastAsia" w:ascii="宋体" w:hAnsi="宋体" w:eastAsia="宋体" w:cs="宋体"/>
          <w:bCs/>
          <w:color w:val="000000"/>
          <w:sz w:val="24"/>
          <w:szCs w:val="24"/>
        </w:rPr>
        <w:t>GB508</w:t>
      </w:r>
      <w:r>
        <w:rPr>
          <w:rFonts w:hint="eastAsia" w:ascii="宋体" w:hAnsi="宋体" w:eastAsia="宋体" w:cs="宋体"/>
          <w:bCs/>
          <w:color w:val="000000"/>
          <w:sz w:val="24"/>
          <w:szCs w:val="24"/>
          <w:lang w:val="en-US" w:eastAsia="zh-CN"/>
        </w:rPr>
        <w:t>57</w:t>
      </w:r>
      <w:r>
        <w:rPr>
          <w:rFonts w:hint="eastAsia" w:ascii="宋体" w:hAnsi="宋体" w:eastAsia="宋体" w:cs="宋体"/>
          <w:bCs/>
          <w:color w:val="000000"/>
          <w:sz w:val="24"/>
          <w:szCs w:val="24"/>
        </w:rPr>
        <w:t>-2013</w:t>
      </w:r>
      <w:r>
        <w:rPr>
          <w:rFonts w:hint="eastAsia" w:ascii="宋体" w:hAnsi="宋体" w:cs="宋体"/>
          <w:color w:val="000000"/>
          <w:sz w:val="24"/>
        </w:rPr>
        <w:t>）</w:t>
      </w:r>
      <w:r>
        <w:rPr>
          <w:rFonts w:hint="eastAsia" w:ascii="宋体" w:hAnsi="宋体" w:cs="宋体"/>
          <w:color w:val="000000"/>
          <w:sz w:val="24"/>
          <w:lang w:eastAsia="zh-CN"/>
        </w:rPr>
        <w:t>、</w:t>
      </w:r>
      <w:r>
        <w:rPr>
          <w:rFonts w:hint="eastAsia" w:ascii="宋体" w:hAnsi="宋体" w:eastAsia="宋体" w:cs="宋体"/>
          <w:bCs/>
          <w:color w:val="000000"/>
          <w:sz w:val="24"/>
          <w:szCs w:val="24"/>
        </w:rPr>
        <w:t>《</w:t>
      </w:r>
      <w:r>
        <w:rPr>
          <w:rFonts w:hint="eastAsia" w:ascii="宋体" w:hAnsi="宋体" w:eastAsia="宋体" w:cs="宋体"/>
          <w:color w:val="000000"/>
          <w:sz w:val="24"/>
          <w:szCs w:val="24"/>
        </w:rPr>
        <w:t>通用安装工程工程量计</w:t>
      </w:r>
      <w:r>
        <w:rPr>
          <w:rFonts w:hint="eastAsia" w:ascii="宋体" w:hAnsi="宋体" w:cs="宋体"/>
          <w:color w:val="000000"/>
          <w:sz w:val="24"/>
          <w:szCs w:val="24"/>
        </w:rPr>
        <w:t>算规范》（</w:t>
      </w:r>
      <w:r>
        <w:rPr>
          <w:rFonts w:ascii="宋体" w:hAnsi="宋体" w:cs="宋体"/>
          <w:color w:val="000000"/>
          <w:sz w:val="24"/>
          <w:szCs w:val="24"/>
        </w:rPr>
        <w:t>GB 50856-2013</w:t>
      </w:r>
      <w:r>
        <w:rPr>
          <w:rFonts w:hint="eastAsia" w:ascii="宋体" w:hAnsi="宋体" w:cs="宋体"/>
          <w:color w:val="000000"/>
          <w:sz w:val="24"/>
          <w:szCs w:val="24"/>
        </w:rPr>
        <w:t>）</w:t>
      </w:r>
      <w:r>
        <w:rPr>
          <w:rFonts w:hint="eastAsia" w:ascii="宋体" w:hAnsi="宋体" w:cs="宋体"/>
          <w:color w:val="000000"/>
          <w:sz w:val="24"/>
          <w:lang w:eastAsia="zh-CN"/>
        </w:rPr>
        <w:t>；</w:t>
      </w:r>
    </w:p>
    <w:p>
      <w:pPr>
        <w:numPr>
          <w:ilvl w:val="0"/>
          <w:numId w:val="2"/>
        </w:numPr>
        <w:spacing w:line="360" w:lineRule="auto"/>
        <w:jc w:val="left"/>
        <w:rPr>
          <w:rFonts w:asciiTheme="minorEastAsia" w:hAnsiTheme="minorEastAsia" w:eastAsiaTheme="minorEastAsia" w:cstheme="minorEastAsia"/>
          <w:sz w:val="24"/>
        </w:rPr>
      </w:pPr>
      <w:r>
        <w:rPr>
          <w:rFonts w:hint="eastAsia" w:ascii="宋体" w:hAnsi="宋体" w:cs="宋体"/>
          <w:color w:val="000000"/>
          <w:sz w:val="24"/>
        </w:rPr>
        <w:t>《江苏省建筑与装饰工程计价定额》（2014年）、</w:t>
      </w:r>
      <w:r>
        <w:rPr>
          <w:rFonts w:hint="eastAsia" w:ascii="宋体" w:hAnsi="宋体" w:eastAsia="宋体" w:cs="宋体"/>
          <w:sz w:val="24"/>
          <w:szCs w:val="24"/>
        </w:rPr>
        <w:t>《江苏省市政工程计价</w:t>
      </w:r>
      <w:r>
        <w:rPr>
          <w:rFonts w:hint="eastAsia" w:ascii="宋体" w:hAnsi="宋体" w:eastAsia="宋体" w:cs="宋体"/>
          <w:color w:val="auto"/>
          <w:sz w:val="24"/>
          <w:szCs w:val="24"/>
        </w:rPr>
        <w:t>定额</w:t>
      </w:r>
      <w:r>
        <w:rPr>
          <w:rFonts w:hint="eastAsia" w:ascii="宋体" w:hAnsi="宋体" w:eastAsia="宋体" w:cs="宋体"/>
          <w:sz w:val="24"/>
          <w:szCs w:val="24"/>
        </w:rPr>
        <w:t>》2014</w:t>
      </w:r>
      <w:r>
        <w:rPr>
          <w:rFonts w:hint="eastAsia" w:ascii="宋体" w:hAnsi="宋体" w:eastAsia="宋体" w:cs="宋体"/>
          <w:sz w:val="24"/>
          <w:szCs w:val="24"/>
          <w:lang w:eastAsia="zh-CN"/>
        </w:rPr>
        <w:t>、</w:t>
      </w:r>
      <w:r>
        <w:rPr>
          <w:rFonts w:hint="eastAsia" w:ascii="宋体" w:hAnsi="宋体" w:cs="宋体"/>
          <w:color w:val="000000"/>
          <w:sz w:val="24"/>
          <w:szCs w:val="24"/>
        </w:rPr>
        <w:t>《江苏省安装工程计价定额》2014</w:t>
      </w:r>
      <w:r>
        <w:rPr>
          <w:rFonts w:hint="eastAsia" w:ascii="宋体" w:hAnsi="宋体" w:cs="宋体"/>
          <w:color w:val="000000"/>
          <w:sz w:val="24"/>
          <w:szCs w:val="24"/>
          <w:lang w:eastAsia="zh-CN"/>
        </w:rPr>
        <w:t>；</w:t>
      </w:r>
    </w:p>
    <w:p>
      <w:pPr>
        <w:numPr>
          <w:ilvl w:val="0"/>
          <w:numId w:val="2"/>
        </w:numPr>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《江苏省建设工程费用定额》 2014营改增；</w:t>
      </w:r>
    </w:p>
    <w:p>
      <w:pPr>
        <w:numPr>
          <w:ilvl w:val="0"/>
          <w:numId w:val="2"/>
        </w:numPr>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苏建价【2016】154 号文、常建【2014】279 号文、【2018】第24号</w:t>
      </w:r>
      <w:r>
        <w:rPr>
          <w:rFonts w:hint="eastAsia" w:ascii="宋体" w:hAnsi="宋体" w:cs="宋体"/>
          <w:sz w:val="24"/>
          <w:szCs w:val="24"/>
        </w:rPr>
        <w:t>；</w:t>
      </w:r>
    </w:p>
    <w:p>
      <w:pPr>
        <w:numPr>
          <w:ilvl w:val="0"/>
          <w:numId w:val="2"/>
        </w:numPr>
        <w:spacing w:line="360" w:lineRule="auto"/>
        <w:jc w:val="left"/>
        <w:rPr>
          <w:rFonts w:ascii="宋体" w:hAnsi="宋体" w:cs="宋体"/>
          <w:color w:val="000000"/>
          <w:sz w:val="24"/>
        </w:rPr>
      </w:pPr>
      <w:r>
        <w:rPr>
          <w:rFonts w:hint="eastAsia" w:asciiTheme="minorEastAsia" w:hAnsiTheme="minorEastAsia" w:eastAsiaTheme="minorEastAsia" w:cstheme="minorEastAsia"/>
          <w:sz w:val="24"/>
        </w:rPr>
        <w:t>人工费标准按</w:t>
      </w:r>
      <w:r>
        <w:rPr>
          <w:rFonts w:hint="eastAsia" w:asciiTheme="minorEastAsia" w:hAnsiTheme="minorEastAsia" w:eastAsiaTheme="minorEastAsia" w:cstheme="minorEastAsia"/>
          <w:color w:val="000000"/>
          <w:kern w:val="0"/>
          <w:sz w:val="24"/>
        </w:rPr>
        <w:t>苏建函价【202</w:t>
      </w:r>
      <w:r>
        <w:rPr>
          <w:rFonts w:hint="eastAsia" w:asciiTheme="minorEastAsia" w:hAnsiTheme="minorEastAsia" w:cstheme="minorEastAsia"/>
          <w:color w:val="000000"/>
          <w:kern w:val="0"/>
          <w:sz w:val="24"/>
          <w:lang w:val="en-US" w:eastAsia="zh-CN"/>
        </w:rPr>
        <w:t>3</w:t>
      </w:r>
      <w:r>
        <w:rPr>
          <w:rFonts w:hint="eastAsia" w:asciiTheme="minorEastAsia" w:hAnsiTheme="minorEastAsia" w:eastAsiaTheme="minorEastAsia" w:cstheme="minorEastAsia"/>
          <w:color w:val="000000"/>
          <w:kern w:val="0"/>
          <w:sz w:val="24"/>
        </w:rPr>
        <w:t>】</w:t>
      </w:r>
      <w:r>
        <w:rPr>
          <w:rFonts w:hint="eastAsia" w:asciiTheme="minorEastAsia" w:hAnsiTheme="minorEastAsia"/>
          <w:sz w:val="24"/>
          <w:lang w:val="en-US" w:eastAsia="zh-CN"/>
        </w:rPr>
        <w:t>63</w:t>
      </w:r>
      <w:r>
        <w:rPr>
          <w:rFonts w:hint="eastAsia" w:asciiTheme="minorEastAsia" w:hAnsiTheme="minorEastAsia" w:eastAsiaTheme="minorEastAsia" w:cstheme="minorEastAsia"/>
          <w:color w:val="000000"/>
          <w:kern w:val="0"/>
          <w:sz w:val="24"/>
        </w:rPr>
        <w:t>号</w:t>
      </w:r>
      <w:r>
        <w:rPr>
          <w:rFonts w:hint="eastAsia" w:asciiTheme="minorEastAsia" w:hAnsiTheme="minorEastAsia" w:eastAsiaTheme="minorEastAsia" w:cstheme="minorEastAsia"/>
          <w:sz w:val="24"/>
        </w:rPr>
        <w:t>文件执行；</w:t>
      </w:r>
    </w:p>
    <w:p>
      <w:pPr>
        <w:numPr>
          <w:ilvl w:val="0"/>
          <w:numId w:val="2"/>
        </w:numPr>
        <w:spacing w:line="360" w:lineRule="auto"/>
        <w:jc w:val="left"/>
        <w:rPr>
          <w:rFonts w:ascii="宋体" w:hAnsi="宋体" w:cs="宋体"/>
          <w:color w:val="000000"/>
          <w:sz w:val="24"/>
        </w:rPr>
      </w:pPr>
      <w:r>
        <w:rPr>
          <w:rFonts w:hint="eastAsia" w:asciiTheme="minorEastAsia" w:hAnsiTheme="minorEastAsia" w:eastAsiaTheme="minorEastAsia" w:cstheme="minorEastAsia"/>
          <w:color w:val="000000"/>
          <w:sz w:val="24"/>
        </w:rPr>
        <w:t>材料价格参照 202</w:t>
      </w:r>
      <w:r>
        <w:rPr>
          <w:rFonts w:hint="eastAsia" w:asciiTheme="minorEastAsia" w:hAnsiTheme="minorEastAsia" w:cstheme="minorEastAsia"/>
          <w:color w:val="000000"/>
          <w:sz w:val="24"/>
          <w:lang w:val="en-US" w:eastAsia="zh-CN"/>
        </w:rPr>
        <w:t>3</w:t>
      </w:r>
      <w:r>
        <w:rPr>
          <w:rFonts w:hint="eastAsia" w:asciiTheme="minorEastAsia" w:hAnsiTheme="minorEastAsia" w:eastAsiaTheme="minorEastAsia" w:cstheme="minorEastAsia"/>
          <w:color w:val="000000"/>
          <w:sz w:val="24"/>
        </w:rPr>
        <w:t xml:space="preserve"> 年</w:t>
      </w:r>
      <w:r>
        <w:rPr>
          <w:rFonts w:hint="eastAsia" w:asciiTheme="minorEastAsia" w:hAnsiTheme="minorEastAsia" w:cstheme="minorEastAsia"/>
          <w:color w:val="000000"/>
          <w:sz w:val="24"/>
          <w:lang w:val="en-US" w:eastAsia="zh-CN"/>
        </w:rPr>
        <w:t>6</w:t>
      </w:r>
      <w:r>
        <w:rPr>
          <w:rFonts w:hint="eastAsia" w:asciiTheme="minorEastAsia" w:hAnsiTheme="minorEastAsia" w:eastAsiaTheme="minorEastAsia" w:cstheme="minorEastAsia"/>
          <w:color w:val="000000"/>
          <w:sz w:val="24"/>
        </w:rPr>
        <w:t>月常州信息指导价</w:t>
      </w:r>
      <w:r>
        <w:rPr>
          <w:rFonts w:ascii="宋体" w:hAnsi="宋体" w:eastAsia="宋体" w:cs="宋体"/>
          <w:b w:val="0"/>
          <w:i w:val="0"/>
          <w:color w:val="000000"/>
          <w:sz w:val="24"/>
          <w:szCs w:val="24"/>
        </w:rPr>
        <w:t>（</w:t>
      </w:r>
      <w:r>
        <w:rPr>
          <w:rFonts w:hint="eastAsia" w:ascii="宋体" w:hAnsi="宋体" w:cs="宋体"/>
          <w:b w:val="0"/>
          <w:i w:val="0"/>
          <w:color w:val="000000"/>
          <w:sz w:val="24"/>
          <w:szCs w:val="24"/>
          <w:lang w:val="en-US" w:eastAsia="zh-CN"/>
        </w:rPr>
        <w:t>6</w:t>
      </w:r>
      <w:r>
        <w:rPr>
          <w:rFonts w:ascii="宋体" w:hAnsi="宋体" w:eastAsia="宋体" w:cs="宋体"/>
          <w:b w:val="0"/>
          <w:i w:val="0"/>
          <w:color w:val="000000"/>
          <w:sz w:val="24"/>
          <w:szCs w:val="24"/>
        </w:rPr>
        <w:t>月份没有的逐月前推）</w:t>
      </w:r>
      <w:r>
        <w:rPr>
          <w:rFonts w:hint="eastAsia" w:ascii="宋体" w:hAnsi="宋体" w:cs="宋体"/>
          <w:b w:val="0"/>
          <w:i w:val="0"/>
          <w:color w:val="000000"/>
          <w:sz w:val="24"/>
          <w:szCs w:val="24"/>
          <w:lang w:eastAsia="zh-CN"/>
        </w:rPr>
        <w:t>；</w:t>
      </w:r>
      <w:r>
        <w:rPr>
          <w:rFonts w:hint="eastAsia" w:asciiTheme="minorEastAsia" w:hAnsiTheme="minorEastAsia" w:eastAsiaTheme="minorEastAsia" w:cstheme="minorEastAsia"/>
          <w:color w:val="000000"/>
          <w:sz w:val="24"/>
        </w:rPr>
        <w:t>部分材料无信息价的参照市场价综合考虑；</w:t>
      </w:r>
    </w:p>
    <w:p>
      <w:pPr>
        <w:numPr>
          <w:ilvl w:val="0"/>
          <w:numId w:val="1"/>
        </w:numPr>
        <w:spacing w:line="360" w:lineRule="auto"/>
        <w:rPr>
          <w:b/>
          <w:bCs/>
          <w:sz w:val="24"/>
        </w:rPr>
      </w:pPr>
      <w:r>
        <w:rPr>
          <w:rFonts w:hint="eastAsia"/>
          <w:b/>
          <w:bCs/>
          <w:sz w:val="24"/>
        </w:rPr>
        <w:t>情况说明：</w:t>
      </w:r>
    </w:p>
    <w:p>
      <w:pPr>
        <w:numPr>
          <w:ilvl w:val="0"/>
          <w:numId w:val="3"/>
        </w:numPr>
        <w:spacing w:line="360" w:lineRule="auto"/>
        <w:ind w:firstLine="480" w:firstLineChars="200"/>
        <w:rPr>
          <w:rFonts w:hint="eastAsia"/>
          <w:sz w:val="24"/>
          <w:lang w:val="en-US" w:eastAsia="zh-CN"/>
        </w:rPr>
      </w:pPr>
      <w:r>
        <w:rPr>
          <w:rFonts w:hint="eastAsia"/>
          <w:sz w:val="24"/>
          <w:lang w:eastAsia="zh-CN"/>
        </w:rPr>
        <w:t>本项目</w:t>
      </w:r>
      <w:r>
        <w:rPr>
          <w:rFonts w:hint="eastAsia"/>
          <w:sz w:val="24"/>
          <w:lang w:val="en-US" w:eastAsia="zh-CN"/>
        </w:rPr>
        <w:t>为</w:t>
      </w:r>
      <w:r>
        <w:rPr>
          <w:rFonts w:hint="eastAsia" w:ascii="宋体" w:hAnsi="宋体"/>
          <w:sz w:val="24"/>
          <w:lang w:val="en-US" w:eastAsia="zh-CN"/>
        </w:rPr>
        <w:t>东街及继善路道路改造工程</w:t>
      </w:r>
      <w:r>
        <w:rPr>
          <w:rFonts w:hint="eastAsia" w:ascii="宋体" w:hAnsi="宋体"/>
          <w:sz w:val="24"/>
          <w:lang w:eastAsia="zh-CN"/>
        </w:rPr>
        <w:t>，</w:t>
      </w:r>
      <w:r>
        <w:rPr>
          <w:rFonts w:hint="eastAsia" w:ascii="宋体" w:hAnsi="宋体"/>
          <w:sz w:val="24"/>
        </w:rPr>
        <w:t>包含道路、</w:t>
      </w:r>
      <w:r>
        <w:rPr>
          <w:rFonts w:hint="eastAsia" w:ascii="宋体" w:hAnsi="宋体"/>
          <w:sz w:val="24"/>
          <w:lang w:val="en-US" w:eastAsia="zh-CN"/>
        </w:rPr>
        <w:t>雨水管网及</w:t>
      </w:r>
      <w:r>
        <w:rPr>
          <w:rFonts w:hint="eastAsia" w:ascii="宋体" w:hAnsi="宋体"/>
          <w:sz w:val="24"/>
        </w:rPr>
        <w:t>交通工程</w:t>
      </w:r>
      <w:r>
        <w:rPr>
          <w:rFonts w:hint="eastAsia" w:ascii="宋体" w:hAnsi="宋体"/>
          <w:sz w:val="24"/>
          <w:lang w:eastAsia="zh-CN"/>
        </w:rPr>
        <w:t>，</w:t>
      </w:r>
      <w:r>
        <w:rPr>
          <w:rFonts w:hint="eastAsia" w:ascii="宋体" w:hAnsi="宋体"/>
          <w:sz w:val="24"/>
          <w:lang w:val="en-US" w:eastAsia="zh-CN"/>
        </w:rPr>
        <w:t>详细见工程量清单</w:t>
      </w:r>
      <w:r>
        <w:rPr>
          <w:rFonts w:hint="eastAsia"/>
          <w:sz w:val="24"/>
          <w:lang w:val="en-US" w:eastAsia="zh-CN"/>
        </w:rPr>
        <w:t>。</w:t>
      </w:r>
    </w:p>
    <w:p>
      <w:pPr>
        <w:numPr>
          <w:ilvl w:val="0"/>
          <w:numId w:val="3"/>
        </w:numPr>
        <w:spacing w:line="360" w:lineRule="auto"/>
        <w:ind w:firstLine="480" w:firstLineChars="200"/>
        <w:rPr>
          <w:rStyle w:val="5"/>
          <w:rFonts w:hint="eastAsia" w:asciiTheme="minorEastAsia" w:hAnsiTheme="minorEastAsia" w:eastAsiaTheme="minorEastAsia" w:cstheme="minorEastAsia"/>
          <w:sz w:val="24"/>
          <w:szCs w:val="24"/>
          <w:lang w:eastAsia="zh-CN"/>
        </w:rPr>
      </w:pPr>
      <w:r>
        <w:rPr>
          <w:rFonts w:ascii="宋体" w:hAnsi="宋体" w:eastAsia="宋体" w:cs="宋体"/>
          <w:b w:val="0"/>
          <w:i w:val="0"/>
          <w:color w:val="000000"/>
          <w:sz w:val="24"/>
          <w:szCs w:val="24"/>
        </w:rPr>
        <w:t>按独立费计价的项目包含完成该项目除措施费规费税金以外的全部费用</w:t>
      </w:r>
      <w:r>
        <w:rPr>
          <w:rFonts w:hint="eastAsia" w:ascii="宋体" w:hAnsi="宋体" w:eastAsia="宋体" w:cs="宋体"/>
          <w:b w:val="0"/>
          <w:i w:val="0"/>
          <w:color w:val="000000"/>
          <w:sz w:val="24"/>
          <w:szCs w:val="24"/>
          <w:lang w:eastAsia="zh-CN"/>
        </w:rPr>
        <w:t>，</w:t>
      </w:r>
      <w:r>
        <w:rPr>
          <w:rFonts w:ascii="宋体" w:hAnsi="宋体" w:eastAsia="宋体" w:cs="宋体"/>
          <w:b w:val="0"/>
          <w:i w:val="0"/>
          <w:color w:val="000000"/>
          <w:sz w:val="24"/>
          <w:szCs w:val="24"/>
        </w:rPr>
        <w:t>投标单价执行包干综合单价</w:t>
      </w:r>
      <w:r>
        <w:rPr>
          <w:rFonts w:hint="eastAsia" w:ascii="宋体" w:hAnsi="宋体" w:cs="宋体"/>
          <w:b w:val="0"/>
          <w:i w:val="0"/>
          <w:color w:val="000000"/>
          <w:sz w:val="24"/>
          <w:szCs w:val="24"/>
          <w:lang w:eastAsia="zh-CN"/>
        </w:rPr>
        <w:t>，</w:t>
      </w:r>
      <w:r>
        <w:rPr>
          <w:rFonts w:ascii="宋体" w:hAnsi="宋体" w:eastAsia="宋体" w:cs="宋体"/>
          <w:b w:val="0"/>
          <w:i w:val="0"/>
          <w:color w:val="000000"/>
          <w:sz w:val="24"/>
          <w:szCs w:val="24"/>
        </w:rPr>
        <w:t>结算时不予调整。</w:t>
      </w:r>
    </w:p>
    <w:p>
      <w:pPr>
        <w:numPr>
          <w:ilvl w:val="0"/>
          <w:numId w:val="3"/>
        </w:numPr>
        <w:spacing w:line="360" w:lineRule="auto"/>
        <w:ind w:firstLine="480" w:firstLineChars="200"/>
        <w:rPr>
          <w:rFonts w:hint="eastAsia" w:ascii="宋体" w:hAnsi="宋体" w:eastAsia="宋体" w:cs="宋体"/>
          <w:b w:val="0"/>
          <w:i w:val="0"/>
          <w:color w:val="000000"/>
          <w:sz w:val="24"/>
          <w:szCs w:val="24"/>
          <w:lang w:eastAsia="zh-CN"/>
        </w:rPr>
      </w:pPr>
      <w:r>
        <w:rPr>
          <w:rFonts w:ascii="宋体" w:hAnsi="宋体" w:eastAsia="宋体" w:cs="宋体"/>
          <w:b w:val="0"/>
          <w:i w:val="0"/>
          <w:color w:val="000000"/>
          <w:sz w:val="24"/>
          <w:szCs w:val="24"/>
        </w:rPr>
        <w:t>工程的清单量只考虑在目前</w:t>
      </w:r>
      <w:r>
        <w:rPr>
          <w:rFonts w:hint="eastAsia" w:ascii="宋体" w:hAnsi="宋体" w:eastAsia="宋体" w:cs="宋体"/>
          <w:b w:val="0"/>
          <w:i w:val="0"/>
          <w:color w:val="000000"/>
          <w:sz w:val="24"/>
          <w:szCs w:val="24"/>
          <w:lang w:val="en-US" w:eastAsia="zh-CN"/>
        </w:rPr>
        <w:t>施工</w:t>
      </w:r>
      <w:r>
        <w:rPr>
          <w:rFonts w:ascii="宋体" w:hAnsi="宋体" w:eastAsia="宋体" w:cs="宋体"/>
          <w:b w:val="0"/>
          <w:i w:val="0"/>
          <w:color w:val="000000"/>
          <w:sz w:val="24"/>
          <w:szCs w:val="24"/>
        </w:rPr>
        <w:t>范围内所能计算的工作量，实际施工量的增加或减少或新增项目不影响对分部分项综合单价的调整，投标方自行考虑实际施工量和清单量变化的因素组织投标报价。</w:t>
      </w:r>
    </w:p>
    <w:p>
      <w:pPr>
        <w:numPr>
          <w:ilvl w:val="0"/>
          <w:numId w:val="3"/>
        </w:numPr>
        <w:spacing w:line="360" w:lineRule="auto"/>
        <w:ind w:left="-60" w:leftChars="0" w:firstLine="480" w:firstLineChars="0"/>
        <w:rPr>
          <w:rFonts w:ascii="宋体" w:hAnsi="宋体" w:eastAsia="宋体" w:cs="宋体"/>
          <w:color w:val="000000"/>
          <w:sz w:val="24"/>
        </w:rPr>
      </w:pPr>
      <w:r>
        <w:rPr>
          <w:rFonts w:ascii="宋体" w:hAnsi="宋体" w:eastAsia="宋体" w:cs="宋体"/>
          <w:color w:val="000000"/>
          <w:sz w:val="24"/>
        </w:rPr>
        <w:t>其它：</w:t>
      </w:r>
    </w:p>
    <w:p>
      <w:pPr>
        <w:numPr>
          <w:ilvl w:val="0"/>
          <w:numId w:val="4"/>
        </w:numPr>
        <w:spacing w:line="360" w:lineRule="auto"/>
        <w:ind w:firstLine="480" w:firstLineChars="200"/>
        <w:rPr>
          <w:rFonts w:hint="eastAsia" w:asciiTheme="minorEastAsia" w:hAnsiTheme="minorEastAsia" w:eastAsiaTheme="minorEastAsia" w:cstheme="minorEastAsia"/>
          <w:color w:val="000000"/>
          <w:sz w:val="24"/>
          <w:lang w:eastAsia="zh-CN"/>
        </w:rPr>
      </w:pPr>
      <w:r>
        <w:rPr>
          <w:rFonts w:hint="eastAsia" w:asciiTheme="minorEastAsia" w:hAnsiTheme="minorEastAsia" w:eastAsiaTheme="minorEastAsia" w:cstheme="minorEastAsia"/>
          <w:color w:val="000000"/>
          <w:sz w:val="24"/>
        </w:rPr>
        <w:t>对措施项目清单，施工单位投标时自行考虑施工方案及自主报价</w:t>
      </w:r>
      <w:r>
        <w:rPr>
          <w:rFonts w:hint="eastAsia" w:asciiTheme="minorEastAsia" w:hAnsiTheme="minorEastAsia" w:eastAsiaTheme="minorEastAsia" w:cstheme="minorEastAsia"/>
          <w:color w:val="000000"/>
          <w:sz w:val="24"/>
          <w:lang w:eastAsia="zh-CN"/>
        </w:rPr>
        <w:t>；</w:t>
      </w:r>
    </w:p>
    <w:p>
      <w:pPr>
        <w:numPr>
          <w:ilvl w:val="0"/>
          <w:numId w:val="4"/>
        </w:numPr>
        <w:spacing w:line="360" w:lineRule="auto"/>
        <w:ind w:left="0" w:leftChars="0"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单价措施项目费的结算同分部分项工程的结算方式，总价与单价措施项目中， 以“ 项”为单位报价的，一次性包干，结算时不作调整；</w:t>
      </w:r>
    </w:p>
    <w:p>
      <w:pPr>
        <w:numPr>
          <w:ilvl w:val="0"/>
          <w:numId w:val="4"/>
        </w:numPr>
        <w:spacing w:line="360" w:lineRule="auto"/>
        <w:ind w:left="0" w:leftChars="0" w:firstLine="480" w:firstLineChars="200"/>
        <w:rPr>
          <w:rFonts w:hint="eastAsia" w:asciiTheme="minorEastAsia" w:hAnsiTheme="minorEastAsia" w:eastAsiaTheme="minorEastAsia" w:cstheme="minorEastAsia"/>
          <w:sz w:val="24"/>
          <w:highlight w:val="none"/>
          <w:lang w:val="en-US" w:eastAsia="zh-CN"/>
        </w:rPr>
      </w:pPr>
      <w:r>
        <w:rPr>
          <w:rStyle w:val="5"/>
          <w:rFonts w:hint="eastAsia" w:asciiTheme="minorEastAsia" w:hAnsiTheme="minorEastAsia" w:eastAsiaTheme="minorEastAsia" w:cstheme="minorEastAsia"/>
          <w:sz w:val="24"/>
          <w:szCs w:val="24"/>
        </w:rPr>
        <w:t>本</w:t>
      </w:r>
      <w:r>
        <w:rPr>
          <w:rStyle w:val="5"/>
          <w:rFonts w:hint="eastAsia" w:asciiTheme="minorEastAsia" w:hAnsiTheme="minorEastAsia" w:eastAsiaTheme="minorEastAsia" w:cstheme="minorEastAsia"/>
          <w:sz w:val="24"/>
          <w:szCs w:val="24"/>
          <w:lang w:eastAsia="zh-CN"/>
        </w:rPr>
        <w:t>项目</w:t>
      </w:r>
      <w:r>
        <w:rPr>
          <w:rStyle w:val="5"/>
          <w:rFonts w:hint="eastAsia" w:asciiTheme="minorEastAsia" w:hAnsiTheme="minorEastAsia" w:eastAsiaTheme="minorEastAsia" w:cstheme="minorEastAsia"/>
          <w:sz w:val="24"/>
          <w:szCs w:val="24"/>
        </w:rPr>
        <w:t>所用砼均为预拌商品砼（无论清单项目特征是否注明砼拌和方式），投标人应</w:t>
      </w:r>
      <w:r>
        <w:rPr>
          <w:rStyle w:val="5"/>
          <w:rFonts w:hint="eastAsia" w:asciiTheme="minorEastAsia" w:hAnsiTheme="minorEastAsia" w:eastAsiaTheme="minorEastAsia" w:cstheme="minorEastAsia"/>
          <w:sz w:val="24"/>
          <w:szCs w:val="24"/>
          <w:highlight w:val="none"/>
        </w:rPr>
        <w:t>按此要求报价，并含在相应的投标综合单价内</w:t>
      </w:r>
      <w:r>
        <w:rPr>
          <w:rStyle w:val="5"/>
          <w:rFonts w:hint="eastAsia" w:asciiTheme="minorEastAsia" w:hAnsiTheme="minorEastAsia" w:eastAsiaTheme="minorEastAsia" w:cstheme="minorEastAsia"/>
          <w:sz w:val="24"/>
          <w:szCs w:val="24"/>
          <w:highlight w:val="none"/>
          <w:lang w:eastAsia="zh-CN"/>
        </w:rPr>
        <w:t>，</w:t>
      </w:r>
      <w:r>
        <w:rPr>
          <w:rStyle w:val="5"/>
          <w:rFonts w:hint="eastAsia" w:asciiTheme="minorEastAsia" w:hAnsiTheme="minorEastAsia" w:eastAsiaTheme="minorEastAsia" w:cstheme="minorEastAsia"/>
          <w:sz w:val="24"/>
          <w:szCs w:val="24"/>
          <w:highlight w:val="none"/>
        </w:rPr>
        <w:t>结算时不再进行调整</w:t>
      </w:r>
      <w:r>
        <w:rPr>
          <w:rStyle w:val="5"/>
          <w:rFonts w:hint="eastAsia" w:asciiTheme="minorEastAsia" w:hAnsiTheme="minorEastAsia" w:eastAsiaTheme="minorEastAsia" w:cstheme="minorEastAsia"/>
          <w:sz w:val="24"/>
          <w:szCs w:val="24"/>
          <w:highlight w:val="none"/>
          <w:lang w:eastAsia="zh-CN"/>
        </w:rPr>
        <w:t>。</w:t>
      </w:r>
    </w:p>
    <w:p>
      <w:pPr>
        <w:numPr>
          <w:ilvl w:val="0"/>
          <w:numId w:val="0"/>
        </w:numPr>
        <w:spacing w:line="360" w:lineRule="auto"/>
        <w:rPr>
          <w:rStyle w:val="5"/>
          <w:rFonts w:hint="eastAsia" w:asciiTheme="minorEastAsia" w:hAnsiTheme="minorEastAsia" w:eastAsiaTheme="minorEastAsia" w:cstheme="minorEastAsia"/>
          <w:sz w:val="24"/>
          <w:szCs w:val="24"/>
          <w:lang w:eastAsia="zh-CN"/>
        </w:rPr>
      </w:pPr>
    </w:p>
    <w:p>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lang w:eastAsia="zh-CN"/>
        </w:rPr>
        <w:t>费率明细：</w:t>
      </w:r>
      <w:r>
        <w:rPr>
          <w:rStyle w:val="5"/>
          <w:rFonts w:hint="eastAsia" w:asciiTheme="minorEastAsia" w:hAnsiTheme="minorEastAsia" w:eastAsiaTheme="minorEastAsia" w:cstheme="minorEastAsia"/>
          <w:sz w:val="24"/>
          <w:szCs w:val="24"/>
        </w:rPr>
        <w:t>安全文明施工费暂计基本费、扬尘污染防治费，结算时按招标文件中相关条款及相关文件执行</w:t>
      </w:r>
      <w:r>
        <w:rPr>
          <w:rStyle w:val="5"/>
          <w:rFonts w:hint="eastAsia" w:asciiTheme="minorEastAsia" w:hAnsiTheme="minorEastAsia" w:cstheme="minorEastAsia"/>
          <w:sz w:val="24"/>
          <w:szCs w:val="24"/>
          <w:lang w:eastAsia="zh-CN"/>
        </w:rPr>
        <w:t>，</w:t>
      </w:r>
      <w:r>
        <w:rPr>
          <w:rStyle w:val="5"/>
          <w:rFonts w:hint="eastAsia" w:asciiTheme="minorEastAsia" w:hAnsiTheme="minorEastAsia" w:eastAsiaTheme="minorEastAsia" w:cstheme="minorEastAsia"/>
          <w:sz w:val="24"/>
          <w:szCs w:val="24"/>
        </w:rPr>
        <w:t>各项规费的计取</w:t>
      </w:r>
      <w:r>
        <w:rPr>
          <w:rStyle w:val="5"/>
          <w:rFonts w:hint="eastAsia" w:asciiTheme="minorEastAsia" w:hAnsiTheme="minorEastAsia" w:cstheme="minorEastAsia"/>
          <w:sz w:val="24"/>
          <w:szCs w:val="24"/>
          <w:lang w:val="en-US" w:eastAsia="zh-CN"/>
        </w:rPr>
        <w:t>详见费率表格</w:t>
      </w:r>
      <w:r>
        <w:rPr>
          <w:rStyle w:val="5"/>
          <w:rFonts w:hint="eastAsia" w:asciiTheme="minorEastAsia" w:hAnsiTheme="minorEastAsia" w:cstheme="minorEastAsia"/>
          <w:sz w:val="24"/>
          <w:szCs w:val="24"/>
          <w:lang w:eastAsia="zh-CN"/>
        </w:rPr>
        <w:t>，本项目建设单位</w:t>
      </w:r>
      <w:r>
        <w:rPr>
          <w:rFonts w:hint="eastAsia"/>
          <w:sz w:val="24"/>
        </w:rPr>
        <w:t>无相关标化工地要求</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sz w:val="24"/>
          <w:szCs w:val="24"/>
        </w:rPr>
        <w:br w:type="textWrapping"/>
      </w:r>
    </w:p>
    <w:tbl>
      <w:tblPr>
        <w:tblStyle w:val="3"/>
        <w:tblW w:w="9362"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25"/>
        <w:gridCol w:w="1450"/>
        <w:gridCol w:w="1450"/>
        <w:gridCol w:w="1237"/>
        <w:gridCol w:w="1250"/>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675" w:type="dxa"/>
            <w:vAlign w:val="center"/>
          </w:tcPr>
          <w:p>
            <w:pPr>
              <w:numPr>
                <w:ilvl w:val="0"/>
                <w:numId w:val="0"/>
              </w:numPr>
              <w:spacing w:after="156" w:afterLines="50" w:line="360" w:lineRule="auto"/>
              <w:jc w:val="center"/>
              <w:rPr>
                <w:rFonts w:hint="eastAsia" w:ascii="宋体" w:hAnsi="宋体" w:eastAsia="宋体" w:cs="宋体"/>
                <w:b w:val="0"/>
                <w:bCs w:val="0"/>
                <w:sz w:val="24"/>
                <w:szCs w:val="24"/>
                <w:vertAlign w:val="baseline"/>
                <w:lang w:eastAsia="zh-CN"/>
              </w:rPr>
            </w:pPr>
            <w:r>
              <w:rPr>
                <w:rFonts w:hint="eastAsia" w:ascii="宋体" w:hAnsi="宋体" w:eastAsia="宋体" w:cs="宋体"/>
                <w:b w:val="0"/>
                <w:bCs w:val="0"/>
                <w:sz w:val="24"/>
                <w:szCs w:val="24"/>
                <w:vertAlign w:val="baseline"/>
                <w:lang w:eastAsia="zh-CN"/>
              </w:rPr>
              <w:t>序号</w:t>
            </w:r>
          </w:p>
        </w:tc>
        <w:tc>
          <w:tcPr>
            <w:tcW w:w="2125" w:type="dxa"/>
            <w:vAlign w:val="center"/>
          </w:tcPr>
          <w:p>
            <w:pPr>
              <w:numPr>
                <w:ilvl w:val="0"/>
                <w:numId w:val="0"/>
              </w:numPr>
              <w:spacing w:after="156" w:afterLines="50" w:line="360" w:lineRule="auto"/>
              <w:jc w:val="center"/>
              <w:rPr>
                <w:rFonts w:hint="eastAsia" w:ascii="宋体" w:hAnsi="宋体" w:eastAsia="宋体" w:cs="宋体"/>
                <w:b w:val="0"/>
                <w:bCs w:val="0"/>
                <w:sz w:val="24"/>
                <w:szCs w:val="24"/>
                <w:vertAlign w:val="baseline"/>
                <w:lang w:eastAsia="zh-CN"/>
              </w:rPr>
            </w:pPr>
            <w:r>
              <w:rPr>
                <w:rFonts w:hint="eastAsia" w:ascii="宋体" w:hAnsi="宋体" w:eastAsia="宋体" w:cs="宋体"/>
                <w:b w:val="0"/>
                <w:bCs w:val="0"/>
                <w:sz w:val="24"/>
                <w:szCs w:val="24"/>
                <w:vertAlign w:val="baseline"/>
                <w:lang w:eastAsia="zh-CN"/>
              </w:rPr>
              <w:t>工程类别</w:t>
            </w:r>
          </w:p>
        </w:tc>
        <w:tc>
          <w:tcPr>
            <w:tcW w:w="1450"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eastAsia="zh-CN"/>
              </w:rPr>
              <w:t>安全文明基本费</w:t>
            </w:r>
          </w:p>
        </w:tc>
        <w:tc>
          <w:tcPr>
            <w:tcW w:w="1450"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sz w:val="24"/>
                <w:szCs w:val="24"/>
              </w:rPr>
              <w:t>扬尘污染防治增加费</w:t>
            </w:r>
          </w:p>
        </w:tc>
        <w:tc>
          <w:tcPr>
            <w:tcW w:w="1237"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sz w:val="24"/>
                <w:szCs w:val="24"/>
              </w:rPr>
              <w:t>临时设施费</w:t>
            </w:r>
          </w:p>
        </w:tc>
        <w:tc>
          <w:tcPr>
            <w:tcW w:w="1250" w:type="dxa"/>
            <w:vAlign w:val="center"/>
          </w:tcPr>
          <w:p>
            <w:pPr>
              <w:numPr>
                <w:ilvl w:val="0"/>
                <w:numId w:val="0"/>
              </w:numPr>
              <w:spacing w:after="156" w:afterLines="50" w:line="360" w:lineRule="auto"/>
              <w:jc w:val="center"/>
              <w:rPr>
                <w:rFonts w:hint="eastAsia" w:ascii="宋体" w:hAnsi="宋体" w:eastAsia="宋体" w:cs="宋体"/>
                <w:b w:val="0"/>
                <w:bCs w:val="0"/>
                <w:sz w:val="24"/>
                <w:szCs w:val="24"/>
                <w:vertAlign w:val="baseline"/>
                <w:lang w:eastAsia="zh-CN"/>
              </w:rPr>
            </w:pPr>
            <w:r>
              <w:rPr>
                <w:rFonts w:hint="eastAsia" w:ascii="宋体" w:hAnsi="宋体" w:eastAsia="宋体" w:cs="宋体"/>
                <w:b w:val="0"/>
                <w:bCs w:val="0"/>
                <w:sz w:val="24"/>
                <w:szCs w:val="24"/>
                <w:vertAlign w:val="baseline"/>
                <w:lang w:eastAsia="zh-CN"/>
              </w:rPr>
              <w:t>社会保险费</w:t>
            </w:r>
          </w:p>
        </w:tc>
        <w:tc>
          <w:tcPr>
            <w:tcW w:w="1175" w:type="dxa"/>
            <w:vAlign w:val="center"/>
          </w:tcPr>
          <w:p>
            <w:pPr>
              <w:numPr>
                <w:ilvl w:val="0"/>
                <w:numId w:val="0"/>
              </w:numPr>
              <w:spacing w:after="156" w:afterLines="50" w:line="360" w:lineRule="auto"/>
              <w:jc w:val="center"/>
              <w:rPr>
                <w:rFonts w:hint="eastAsia" w:ascii="宋体" w:hAnsi="宋体" w:eastAsia="宋体" w:cs="宋体"/>
                <w:b w:val="0"/>
                <w:bCs w:val="0"/>
                <w:sz w:val="24"/>
                <w:szCs w:val="24"/>
                <w:vertAlign w:val="baseline"/>
                <w:lang w:eastAsia="zh-CN"/>
              </w:rPr>
            </w:pPr>
            <w:r>
              <w:rPr>
                <w:rFonts w:hint="eastAsia" w:ascii="宋体" w:hAnsi="宋体" w:eastAsia="宋体" w:cs="宋体"/>
                <w:b w:val="0"/>
                <w:bCs w:val="0"/>
                <w:sz w:val="24"/>
                <w:szCs w:val="24"/>
                <w:vertAlign w:val="baseline"/>
                <w:lang w:eastAsia="zh-CN"/>
              </w:rPr>
              <w:t>住房公积金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exact"/>
        </w:trPr>
        <w:tc>
          <w:tcPr>
            <w:tcW w:w="675" w:type="dxa"/>
            <w:vAlign w:val="center"/>
          </w:tcPr>
          <w:p>
            <w:pPr>
              <w:numPr>
                <w:ilvl w:val="0"/>
                <w:numId w:val="0"/>
              </w:numPr>
              <w:spacing w:after="156" w:afterLines="50" w:line="360" w:lineRule="auto"/>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w:t>
            </w:r>
          </w:p>
        </w:tc>
        <w:tc>
          <w:tcPr>
            <w:tcW w:w="2125"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市政通用项目、道路、排水工程三类</w:t>
            </w:r>
          </w:p>
        </w:tc>
        <w:tc>
          <w:tcPr>
            <w:tcW w:w="1450"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1.5</w:t>
            </w:r>
          </w:p>
        </w:tc>
        <w:tc>
          <w:tcPr>
            <w:tcW w:w="1450" w:type="dxa"/>
            <w:vAlign w:val="center"/>
          </w:tcPr>
          <w:p>
            <w:pPr>
              <w:numPr>
                <w:ilvl w:val="0"/>
                <w:numId w:val="0"/>
              </w:numPr>
              <w:spacing w:after="156" w:afterLines="50" w:line="360" w:lineRule="auto"/>
              <w:ind w:left="0" w:leftChars="0" w:firstLine="0" w:firstLineChars="0"/>
              <w:jc w:val="center"/>
              <w:rPr>
                <w:rFonts w:hint="default"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0.31</w:t>
            </w:r>
          </w:p>
        </w:tc>
        <w:tc>
          <w:tcPr>
            <w:tcW w:w="1237"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2</w:t>
            </w:r>
          </w:p>
        </w:tc>
        <w:tc>
          <w:tcPr>
            <w:tcW w:w="1250"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2</w:t>
            </w:r>
          </w:p>
        </w:tc>
        <w:tc>
          <w:tcPr>
            <w:tcW w:w="1175" w:type="dxa"/>
            <w:vAlign w:val="center"/>
          </w:tcPr>
          <w:p>
            <w:pPr>
              <w:numPr>
                <w:ilvl w:val="0"/>
                <w:numId w:val="0"/>
              </w:numPr>
              <w:spacing w:after="156" w:afterLines="50" w:line="360" w:lineRule="auto"/>
              <w:ind w:left="0" w:leftChars="0" w:firstLine="0" w:firstLineChars="0"/>
              <w:jc w:val="center"/>
              <w:rPr>
                <w:rFonts w:hint="default"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exact"/>
        </w:trPr>
        <w:tc>
          <w:tcPr>
            <w:tcW w:w="675"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2</w:t>
            </w:r>
          </w:p>
        </w:tc>
        <w:tc>
          <w:tcPr>
            <w:tcW w:w="2125"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路灯及交通设施工程</w:t>
            </w:r>
          </w:p>
        </w:tc>
        <w:tc>
          <w:tcPr>
            <w:tcW w:w="1450"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1.2</w:t>
            </w:r>
          </w:p>
        </w:tc>
        <w:tc>
          <w:tcPr>
            <w:tcW w:w="1450"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0.1</w:t>
            </w:r>
          </w:p>
        </w:tc>
        <w:tc>
          <w:tcPr>
            <w:tcW w:w="1237"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2</w:t>
            </w:r>
          </w:p>
        </w:tc>
        <w:tc>
          <w:tcPr>
            <w:tcW w:w="1250"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2.1</w:t>
            </w:r>
          </w:p>
        </w:tc>
        <w:tc>
          <w:tcPr>
            <w:tcW w:w="1175"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0.37</w:t>
            </w:r>
          </w:p>
        </w:tc>
      </w:tr>
    </w:tbl>
    <w:p>
      <w:pPr>
        <w:spacing w:afterLines="50"/>
        <w:jc w:val="left"/>
        <w:rPr>
          <w:rFonts w:hint="eastAsia" w:ascii="宋体" w:hAnsi="宋体" w:eastAsia="宋体" w:cs="宋体"/>
          <w:b/>
          <w:bCs/>
          <w:color w:val="000000"/>
          <w:sz w:val="24"/>
          <w:szCs w:val="24"/>
        </w:rPr>
      </w:pPr>
    </w:p>
    <w:p>
      <w:pPr>
        <w:rPr>
          <w:rFonts w:hint="eastAsia"/>
        </w:rPr>
      </w:pPr>
    </w:p>
    <w:p>
      <w:pPr>
        <w:spacing w:line="360" w:lineRule="auto"/>
        <w:jc w:val="right"/>
        <w:rPr>
          <w:rFonts w:hint="eastAsia" w:ascii="宋体" w:hAnsi="宋体" w:eastAsia="宋体" w:cs="宋体"/>
          <w:sz w:val="24"/>
          <w:szCs w:val="24"/>
          <w:lang w:eastAsia="zh-CN"/>
        </w:rPr>
      </w:pPr>
      <w:r>
        <w:rPr>
          <w:rFonts w:hint="eastAsia" w:ascii="宋体" w:hAnsi="宋体" w:eastAsia="宋体" w:cs="宋体"/>
          <w:sz w:val="24"/>
          <w:szCs w:val="24"/>
          <w:lang w:eastAsia="zh-CN"/>
        </w:rPr>
        <w:t>江苏普弘信工程项目管理有限公司</w:t>
      </w:r>
    </w:p>
    <w:p>
      <w:pPr>
        <w:spacing w:line="360" w:lineRule="auto"/>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2023年8月2</w:t>
      </w:r>
      <w:bookmarkStart w:id="0" w:name="_GoBack"/>
      <w:bookmarkEnd w:id="0"/>
      <w:r>
        <w:rPr>
          <w:rFonts w:hint="eastAsia" w:ascii="宋体" w:hAnsi="宋体" w:eastAsia="宋体" w:cs="宋体"/>
          <w:sz w:val="24"/>
          <w:szCs w:val="24"/>
          <w:lang w:val="en-US" w:eastAsia="zh-CN"/>
        </w:rPr>
        <w:t>日</w:t>
      </w:r>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E2B73C"/>
    <w:multiLevelType w:val="singleLevel"/>
    <w:tmpl w:val="B8E2B73C"/>
    <w:lvl w:ilvl="0" w:tentative="0">
      <w:start w:val="1"/>
      <w:numFmt w:val="decimal"/>
      <w:suff w:val="nothing"/>
      <w:lvlText w:val="%1）"/>
      <w:lvlJc w:val="left"/>
    </w:lvl>
  </w:abstractNum>
  <w:abstractNum w:abstractNumId="1">
    <w:nsid w:val="36082278"/>
    <w:multiLevelType w:val="multilevel"/>
    <w:tmpl w:val="36082278"/>
    <w:lvl w:ilvl="0" w:tentative="0">
      <w:start w:val="1"/>
      <w:numFmt w:val="japaneseCounting"/>
      <w:lvlText w:val="%1、"/>
      <w:lvlJc w:val="left"/>
      <w:pPr>
        <w:ind w:left="585" w:hanging="58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E88E5BE"/>
    <w:multiLevelType w:val="singleLevel"/>
    <w:tmpl w:val="3E88E5BE"/>
    <w:lvl w:ilvl="0" w:tentative="0">
      <w:start w:val="1"/>
      <w:numFmt w:val="decimal"/>
      <w:suff w:val="nothing"/>
      <w:lvlText w:val="%1、"/>
      <w:lvlJc w:val="left"/>
      <w:rPr>
        <w:rFonts w:hint="default" w:ascii="宋体" w:hAnsi="宋体" w:eastAsia="宋体" w:cs="宋体"/>
      </w:rPr>
    </w:lvl>
  </w:abstractNum>
  <w:abstractNum w:abstractNumId="3">
    <w:nsid w:val="55F8273B"/>
    <w:multiLevelType w:val="singleLevel"/>
    <w:tmpl w:val="55F8273B"/>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wY2EyMjQ4ZTI3YzFhMWMyYWJhOGNhMGMwMWE2MWMifQ=="/>
  </w:docVars>
  <w:rsids>
    <w:rsidRoot w:val="00000000"/>
    <w:rsid w:val="03E15C80"/>
    <w:rsid w:val="08EE1335"/>
    <w:rsid w:val="0BDA647D"/>
    <w:rsid w:val="0E1900FC"/>
    <w:rsid w:val="10721FAB"/>
    <w:rsid w:val="11862944"/>
    <w:rsid w:val="120464DD"/>
    <w:rsid w:val="13A70850"/>
    <w:rsid w:val="14694791"/>
    <w:rsid w:val="22D35F66"/>
    <w:rsid w:val="25C53655"/>
    <w:rsid w:val="2F5A0611"/>
    <w:rsid w:val="31083F93"/>
    <w:rsid w:val="31867CB3"/>
    <w:rsid w:val="33C41466"/>
    <w:rsid w:val="37D91EDD"/>
    <w:rsid w:val="3CB807E9"/>
    <w:rsid w:val="429A4535"/>
    <w:rsid w:val="4F3D5E25"/>
    <w:rsid w:val="55863B64"/>
    <w:rsid w:val="55CB0D73"/>
    <w:rsid w:val="568052F7"/>
    <w:rsid w:val="58465516"/>
    <w:rsid w:val="64D425E4"/>
    <w:rsid w:val="695F3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
    <w:name w:val="fontstyle31"/>
    <w:basedOn w:val="4"/>
    <w:qFormat/>
    <w:uiPriority w:val="0"/>
    <w:rPr>
      <w:rFonts w:ascii="宋体" w:hAnsi="宋体" w:eastAsia="宋体" w:cs="宋体"/>
      <w:color w:val="00000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860</Words>
  <Characters>958</Characters>
  <Lines>0</Lines>
  <Paragraphs>0</Paragraphs>
  <TotalTime>4</TotalTime>
  <ScaleCrop>false</ScaleCrop>
  <LinksUpToDate>false</LinksUpToDate>
  <CharactersWithSpaces>967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2022-04-15T11:56:00Z</dcterms:created>
  <dc:creator>Administrator</dc:creator>
  <cp:lastModifiedBy>贝壳</cp:lastModifiedBy>
  <dcterms:modified xsi:type="dcterms:W3CDTF">2023-08-02T02:58:33Z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FDCCB15B8BAC4C85B6E589EB01DC990B</vt:lpwstr>
  </property>
</Properties>
</file>