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sz w:val="30"/>
          <w:szCs w:val="30"/>
        </w:rPr>
        <w:t>近园消防工程</w:t>
      </w:r>
      <w:r>
        <w:rPr>
          <w:rFonts w:hint="eastAsia"/>
          <w:sz w:val="30"/>
          <w:szCs w:val="30"/>
          <w:lang w:val="en-US" w:eastAsia="zh-CN"/>
        </w:rPr>
        <w:t>工程量清单</w:t>
      </w:r>
      <w:r>
        <w:rPr>
          <w:rFonts w:hint="eastAsia"/>
          <w:sz w:val="30"/>
          <w:szCs w:val="30"/>
        </w:rPr>
        <w:t>编制说明</w:t>
      </w:r>
    </w:p>
    <w:p>
      <w:pPr>
        <w:widowControl/>
        <w:numPr>
          <w:ilvl w:val="0"/>
          <w:numId w:val="1"/>
        </w:numPr>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建设概况</w:t>
      </w:r>
    </w:p>
    <w:p>
      <w:pPr>
        <w:widowControl/>
        <w:jc w:val="left"/>
        <w:rPr>
          <w:rFonts w:hint="eastAsia" w:ascii="仿宋" w:hAnsi="仿宋" w:eastAsia="仿宋" w:cs="仿宋"/>
          <w:color w:val="000000"/>
          <w:kern w:val="0"/>
          <w:sz w:val="28"/>
          <w:szCs w:val="28"/>
          <w:lang w:eastAsia="zh-CN"/>
        </w:rPr>
      </w:pPr>
      <w:r>
        <w:rPr>
          <w:rFonts w:hint="eastAsia" w:ascii="仿宋" w:hAnsi="仿宋" w:eastAsia="仿宋" w:cs="仿宋"/>
          <w:color w:val="000000"/>
          <w:kern w:val="0"/>
          <w:sz w:val="28"/>
          <w:szCs w:val="28"/>
        </w:rPr>
        <w:t xml:space="preserve">   本项目为近园消防工程，工程总建筑面积</w:t>
      </w:r>
      <w:r>
        <w:rPr>
          <w:rFonts w:hint="eastAsia" w:ascii="仿宋" w:hAnsi="仿宋" w:eastAsia="仿宋" w:cs="仿宋"/>
          <w:color w:val="000000"/>
          <w:kern w:val="0"/>
          <w:sz w:val="28"/>
          <w:szCs w:val="28"/>
          <w:lang w:val="en-US" w:eastAsia="zh-CN"/>
        </w:rPr>
        <w:t>3522</w:t>
      </w:r>
      <w:r>
        <w:rPr>
          <w:rFonts w:hint="eastAsia" w:ascii="仿宋" w:hAnsi="仿宋" w:eastAsia="仿宋" w:cs="仿宋"/>
          <w:color w:val="000000"/>
          <w:kern w:val="0"/>
          <w:sz w:val="28"/>
          <w:szCs w:val="28"/>
        </w:rPr>
        <w:t>m2</w:t>
      </w:r>
      <w:r>
        <w:rPr>
          <w:rFonts w:hint="eastAsia" w:ascii="仿宋" w:hAnsi="仿宋" w:eastAsia="仿宋" w:cs="仿宋"/>
          <w:color w:val="000000"/>
          <w:kern w:val="0"/>
          <w:sz w:val="28"/>
          <w:szCs w:val="28"/>
          <w:lang w:eastAsia="zh-CN"/>
        </w:rPr>
        <w:t>。</w:t>
      </w:r>
    </w:p>
    <w:p>
      <w:pPr>
        <w:widowControl/>
        <w:numPr>
          <w:ilvl w:val="0"/>
          <w:numId w:val="1"/>
        </w:numPr>
        <w:jc w:val="left"/>
        <w:rPr>
          <w:rFonts w:ascii="仿宋" w:hAnsi="仿宋" w:eastAsia="仿宋" w:cs="仿宋"/>
          <w:b/>
          <w:bCs/>
          <w:color w:val="000000"/>
          <w:kern w:val="0"/>
          <w:sz w:val="28"/>
          <w:szCs w:val="28"/>
        </w:rPr>
      </w:pPr>
      <w:r>
        <w:rPr>
          <w:rFonts w:hint="eastAsia" w:ascii="仿宋" w:hAnsi="仿宋" w:eastAsia="仿宋" w:cs="仿宋"/>
          <w:b/>
          <w:bCs/>
          <w:color w:val="000000"/>
          <w:kern w:val="0"/>
          <w:sz w:val="28"/>
          <w:szCs w:val="28"/>
        </w:rPr>
        <w:t>编制依据和编制范围</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1、GB50500-2013《建设工程工程量清单计价规范》;</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2、GB50854-2013《房屋建筑与装饰工程工程量计算规范》;</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3、GB50856-2013《通用安装工程工程量计算规范》;</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4</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根据</w:t>
      </w:r>
      <w:r>
        <w:rPr>
          <w:rFonts w:hint="eastAsia" w:ascii="仿宋" w:hAnsi="仿宋" w:eastAsia="仿宋" w:cs="仿宋"/>
          <w:color w:val="000000"/>
          <w:kern w:val="0"/>
          <w:sz w:val="28"/>
          <w:szCs w:val="28"/>
        </w:rPr>
        <w:t>招标人提供的设计图纸、图纸问题回复汇总、现场实际情况及业主要求编制;</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5</w:t>
      </w:r>
      <w:r>
        <w:rPr>
          <w:rFonts w:hint="eastAsia" w:ascii="仿宋" w:hAnsi="仿宋" w:eastAsia="仿宋" w:cs="仿宋"/>
          <w:color w:val="000000"/>
          <w:kern w:val="0"/>
          <w:sz w:val="28"/>
          <w:szCs w:val="28"/>
        </w:rPr>
        <w:t>、招标文件</w:t>
      </w:r>
      <w:r>
        <w:rPr>
          <w:rFonts w:hint="eastAsia" w:ascii="仿宋" w:hAnsi="仿宋" w:eastAsia="仿宋" w:cs="仿宋"/>
          <w:color w:val="000000"/>
          <w:kern w:val="0"/>
          <w:sz w:val="28"/>
          <w:szCs w:val="28"/>
          <w:lang w:val="en-US" w:eastAsia="zh-CN"/>
        </w:rPr>
        <w:t>。</w:t>
      </w:r>
    </w:p>
    <w:p>
      <w:pPr>
        <w:widowControl/>
        <w:jc w:val="left"/>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lang w:eastAsia="zh-CN"/>
        </w:rPr>
        <w:t>三</w:t>
      </w:r>
      <w:r>
        <w:rPr>
          <w:rFonts w:hint="eastAsia" w:ascii="仿宋" w:hAnsi="仿宋" w:eastAsia="仿宋" w:cs="宋体"/>
          <w:b/>
          <w:bCs/>
          <w:color w:val="000000"/>
          <w:kern w:val="0"/>
          <w:sz w:val="28"/>
          <w:szCs w:val="28"/>
        </w:rPr>
        <w:t>、编制说明</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lang w:val="en-US" w:eastAsia="zh-CN"/>
        </w:rPr>
        <w:t>1</w:t>
      </w:r>
      <w:r>
        <w:rPr>
          <w:rFonts w:hint="eastAsia" w:ascii="仿宋" w:hAnsi="仿宋" w:eastAsia="仿宋" w:cs="仿宋"/>
          <w:color w:val="000000"/>
          <w:kern w:val="0"/>
          <w:sz w:val="28"/>
          <w:szCs w:val="28"/>
        </w:rPr>
        <w:t>、土方工程:</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(1)土方自然地坪标高由投标人自行踏勘现场确定</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lang w:val="en-US" w:eastAsia="zh-CN"/>
        </w:rPr>
        <w:t>招标人提供的测点标高仅供参考</w:t>
      </w:r>
      <w:r>
        <w:rPr>
          <w:rFonts w:hint="eastAsia" w:ascii="仿宋" w:hAnsi="仿宋" w:eastAsia="仿宋" w:cs="仿宋"/>
          <w:color w:val="000000"/>
          <w:kern w:val="0"/>
          <w:sz w:val="28"/>
          <w:szCs w:val="28"/>
        </w:rPr>
        <w:t>。</w:t>
      </w:r>
    </w:p>
    <w:p>
      <w:pPr>
        <w:widowControl/>
        <w:jc w:val="left"/>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(2)</w:t>
      </w:r>
      <w:r>
        <w:rPr>
          <w:rFonts w:hint="eastAsia" w:ascii="仿宋" w:hAnsi="仿宋" w:eastAsia="仿宋"/>
          <w:sz w:val="28"/>
          <w:szCs w:val="28"/>
        </w:rPr>
        <w:t xml:space="preserve"> 根据现场实际情况，</w:t>
      </w:r>
      <w:bookmarkStart w:id="0" w:name="_Hlk67555735"/>
      <w:r>
        <w:rPr>
          <w:rFonts w:hint="eastAsia" w:ascii="仿宋" w:hAnsi="仿宋" w:eastAsia="仿宋"/>
          <w:sz w:val="28"/>
          <w:szCs w:val="28"/>
        </w:rPr>
        <w:t>本项目除不可利用土方外，其余土方全部在</w:t>
      </w:r>
      <w:r>
        <w:rPr>
          <w:rFonts w:hint="eastAsia" w:ascii="仿宋" w:hAnsi="仿宋" w:eastAsia="仿宋"/>
          <w:sz w:val="28"/>
          <w:szCs w:val="28"/>
          <w:lang w:val="en-US" w:eastAsia="zh-CN"/>
        </w:rPr>
        <w:t>近园</w:t>
      </w:r>
      <w:r>
        <w:rPr>
          <w:rFonts w:hint="eastAsia" w:ascii="仿宋" w:hAnsi="仿宋" w:eastAsia="仿宋"/>
          <w:sz w:val="28"/>
          <w:szCs w:val="28"/>
        </w:rPr>
        <w:t>区内消纳</w:t>
      </w:r>
      <w:r>
        <w:rPr>
          <w:rFonts w:hint="eastAsia" w:ascii="仿宋" w:hAnsi="仿宋" w:eastAsia="仿宋" w:cs="仿宋"/>
          <w:color w:val="000000"/>
          <w:kern w:val="0"/>
          <w:sz w:val="28"/>
          <w:szCs w:val="28"/>
        </w:rPr>
        <w:t>。</w:t>
      </w:r>
      <w:bookmarkEnd w:id="0"/>
      <w:r>
        <w:rPr>
          <w:rFonts w:hint="eastAsia" w:ascii="仿宋" w:hAnsi="仿宋" w:eastAsia="仿宋" w:cs="仿宋"/>
          <w:color w:val="000000"/>
          <w:kern w:val="0"/>
          <w:sz w:val="28"/>
          <w:szCs w:val="28"/>
          <w:lang w:val="en-US" w:eastAsia="zh-CN"/>
        </w:rPr>
        <w:t>不可利用土方经现场监理单位、建设单位确认后由投标人外运弃置。</w:t>
      </w:r>
    </w:p>
    <w:p>
      <w:pPr>
        <w:widowControl/>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3</w:t>
      </w:r>
      <w:r>
        <w:rPr>
          <w:rFonts w:hint="eastAsia" w:ascii="仿宋" w:hAnsi="仿宋" w:eastAsia="仿宋" w:cs="仿宋"/>
          <w:color w:val="000000"/>
          <w:kern w:val="0"/>
          <w:sz w:val="28"/>
          <w:szCs w:val="28"/>
        </w:rPr>
        <w:t>)投标人应根据现场实际情况、地质勘探资料、招标人要求、建筑工地扬尘防治标准和上级主管部门建设工程扬尘防治实施细则要求等自行考虑土方开挖方案、开挖土方外运运距堆场、扬尘防治措施、余土外运堆场可能由当地主管部门指定等所有因素后自行报价。</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2、安装工程</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（1）消防管道埋地敷设时至外墙皮不小于1.0米。（可根据现场围墙情况，以保护围墙为前提，有所增加）</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（2）火灾报警、应急照明控制系统等需连入消控室的管材规格及电缆电线型号按平面及系统图标注计算，各系统调试统一计入消防电气中。</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（3）清单内电气配管为明配，工程内容均包含修补固定费用。</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（4）清单未描述不完整处，各系统阀门工作压力应不小于相应管道工作压力，结算时价格不调整。管道配件壁厚应不小于同口径直管壁厚。</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（5）除埋地管道外，其余管道保温材料厚度需不小于设计厚度要求。水阀门的法兰保温清单未单列，其费用已含在总价内。</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（6）除列明的调试外，其他机电各系统调试、检测、试运行、无负荷调试、带负荷调试内容及费用均含在投标总价内。</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（7）机电各设备材料清单未描述完整处，投标单位还需按照设计图纸、验收规范及技术文件要求，进行报价。</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（8）除清单列明外，其他所有机电安装工程所涉及的洞口的预留、修补、防火封堵、防水封堵等费用（含暗装电箱、暗装消火栓箱、暗装接线箱等洞口），均由投标单位在投标总价内考虑。</w:t>
      </w:r>
      <w:r>
        <w:rPr>
          <w:rFonts w:hint="eastAsia" w:ascii="仿宋" w:hAnsi="仿宋" w:eastAsia="仿宋" w:cs="仿宋"/>
          <w:color w:val="000000"/>
          <w:kern w:val="0"/>
          <w:sz w:val="28"/>
          <w:szCs w:val="28"/>
          <w:lang w:val="en-US" w:eastAsia="zh-CN"/>
        </w:rPr>
        <w:br w:type="textWrapping"/>
      </w:r>
      <w:r>
        <w:rPr>
          <w:rFonts w:hint="eastAsia" w:ascii="仿宋" w:hAnsi="仿宋" w:eastAsia="仿宋" w:cs="仿宋"/>
          <w:color w:val="000000"/>
          <w:kern w:val="0"/>
          <w:sz w:val="28"/>
          <w:szCs w:val="28"/>
          <w:lang w:val="en-US" w:eastAsia="zh-CN"/>
        </w:rPr>
        <w:t>（9）超高费（如有）、管井施工增加费（如有），均由投标人依据现场实际情况及图纸自行考虑，其费用由投标人自行考虑并计入总价中，结算时不调整。</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（10）涉及消防产品，还需满足消防验收规范要求，相应费用均应含在相应的投标综合单价内。</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（11）图纸材料设备型号均为参考型号，投标产品需符合设计性能指标要求、招标品牌要求。</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（12）所有管道安装清单中已含完成该项目所需的所有管件、配件，投标单位应充分考虑后 期施工时不利因素造成的管件、配件数量增加后综合考虑报价（包含各种翻弯、登高、装饰 调整、变更、签证、人工降效等），结算时不调整。</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(13)投标人必须自行对工程施工现场及周围环境进行勘察，应在项目开工前根据长效综合管理及建筑工地施工扬尘治理结合发包人的相关要求落实，标底价编制已考虑此项费用。结算时方案不同，投标报价不作调整，投标人应充分考虑此因素后报价。</w:t>
      </w:r>
    </w:p>
    <w:p>
      <w:pPr>
        <w:spacing w:line="360" w:lineRule="auto"/>
        <w:jc w:val="left"/>
        <w:rPr>
          <w:rFonts w:hint="eastAsia" w:ascii="仿宋" w:hAnsi="仿宋" w:eastAsia="仿宋" w:cs="仿宋"/>
          <w:b w:val="0"/>
          <w:bCs/>
          <w:sz w:val="28"/>
          <w:szCs w:val="28"/>
        </w:rPr>
      </w:pPr>
      <w:r>
        <w:rPr>
          <w:rFonts w:hint="eastAsia" w:ascii="仿宋" w:hAnsi="仿宋" w:eastAsia="仿宋" w:cs="仿宋"/>
          <w:b/>
          <w:bCs w:val="0"/>
          <w:sz w:val="28"/>
          <w:szCs w:val="28"/>
          <w:lang w:val="en-US" w:eastAsia="zh-CN"/>
        </w:rPr>
        <w:t>四</w:t>
      </w:r>
      <w:r>
        <w:rPr>
          <w:rFonts w:hint="eastAsia" w:ascii="仿宋" w:hAnsi="仿宋" w:eastAsia="仿宋" w:cs="仿宋"/>
          <w:b/>
          <w:bCs w:val="0"/>
          <w:sz w:val="28"/>
          <w:szCs w:val="28"/>
        </w:rPr>
        <w:t>、招标人要求的主要材料备选品牌表</w:t>
      </w:r>
      <w:r>
        <w:rPr>
          <w:rFonts w:hint="eastAsia" w:ascii="仿宋" w:hAnsi="仿宋" w:eastAsia="仿宋" w:cs="仿宋"/>
          <w:b w:val="0"/>
          <w:bCs/>
          <w:sz w:val="28"/>
          <w:szCs w:val="28"/>
        </w:rPr>
        <w:t>：</w:t>
      </w:r>
    </w:p>
    <w:tbl>
      <w:tblPr>
        <w:tblStyle w:val="4"/>
        <w:tblW w:w="81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15"/>
        <w:gridCol w:w="1768"/>
        <w:gridCol w:w="1770"/>
        <w:gridCol w:w="19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71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设备名称</w:t>
            </w:r>
          </w:p>
        </w:tc>
        <w:tc>
          <w:tcPr>
            <w:tcW w:w="1768"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品牌1</w:t>
            </w:r>
          </w:p>
        </w:tc>
        <w:tc>
          <w:tcPr>
            <w:tcW w:w="177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品牌2</w:t>
            </w:r>
          </w:p>
        </w:tc>
        <w:tc>
          <w:tcPr>
            <w:tcW w:w="192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bookmarkStart w:id="2" w:name="_GoBack"/>
            <w:bookmarkEnd w:id="2"/>
            <w:r>
              <w:rPr>
                <w:rFonts w:hint="eastAsia" w:ascii="仿宋" w:hAnsi="仿宋" w:eastAsia="仿宋" w:cs="仿宋"/>
                <w:i w:val="0"/>
                <w:iCs w:val="0"/>
                <w:color w:val="000000"/>
                <w:kern w:val="0"/>
                <w:sz w:val="28"/>
                <w:szCs w:val="28"/>
                <w:u w:val="none"/>
                <w:lang w:val="en-US" w:eastAsia="zh-CN" w:bidi="ar"/>
              </w:rPr>
              <w:t>品牌3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2715"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热镀锌钢管</w:t>
            </w:r>
          </w:p>
        </w:tc>
        <w:tc>
          <w:tcPr>
            <w:tcW w:w="1768"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友发</w:t>
            </w:r>
          </w:p>
        </w:tc>
        <w:tc>
          <w:tcPr>
            <w:tcW w:w="177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国强</w:t>
            </w:r>
          </w:p>
        </w:tc>
        <w:tc>
          <w:tcPr>
            <w:tcW w:w="192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湖光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电线电缆</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上上</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远东</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江南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1"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应急照明灯具</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π拿斯特</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振辉</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8"/>
                <w:szCs w:val="28"/>
                <w:u w:val="none"/>
                <w:lang w:val="en-US" w:eastAsia="zh-CN" w:bidi="ar"/>
              </w:rPr>
            </w:pPr>
            <w:r>
              <w:rPr>
                <w:rFonts w:hint="eastAsia" w:ascii="仿宋" w:hAnsi="仿宋" w:eastAsia="仿宋" w:cs="仿宋"/>
                <w:i w:val="0"/>
                <w:iCs w:val="0"/>
                <w:color w:val="000000"/>
                <w:kern w:val="0"/>
                <w:sz w:val="28"/>
                <w:szCs w:val="28"/>
                <w:u w:val="none"/>
                <w:lang w:val="en-US" w:eastAsia="zh-CN" w:bidi="ar"/>
              </w:rPr>
              <w:t>温特孚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应急照明配电箱</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中川</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利达</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中消恒安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视频火灾监控服务器</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8"/>
                <w:szCs w:val="28"/>
                <w:u w:val="none"/>
                <w:lang w:val="en-US"/>
              </w:rPr>
            </w:pPr>
            <w:r>
              <w:rPr>
                <w:rFonts w:hint="eastAsia" w:ascii="仿宋" w:hAnsi="仿宋" w:eastAsia="仿宋" w:cs="仿宋"/>
                <w:i w:val="0"/>
                <w:iCs w:val="0"/>
                <w:color w:val="000000"/>
                <w:kern w:val="0"/>
                <w:sz w:val="28"/>
                <w:szCs w:val="28"/>
                <w:u w:val="none"/>
                <w:lang w:val="en-US" w:eastAsia="zh-CN" w:bidi="ar"/>
              </w:rPr>
              <w:t>三钬眼</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倍特威视</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英特威视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5"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智慧消防云平台</w:t>
            </w:r>
          </w:p>
        </w:tc>
        <w:tc>
          <w:tcPr>
            <w:tcW w:w="1768"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ind w:firstLine="280" w:firstLineChars="100"/>
              <w:jc w:val="both"/>
              <w:textAlignment w:val="center"/>
              <w:rPr>
                <w:rFonts w:hint="eastAsia" w:ascii="仿宋" w:hAnsi="仿宋" w:eastAsia="仿宋" w:cs="仿宋"/>
                <w:b/>
                <w:bCs/>
                <w:i w:val="0"/>
                <w:iCs w:val="0"/>
                <w:color w:val="000000"/>
                <w:sz w:val="28"/>
                <w:szCs w:val="28"/>
                <w:u w:val="none"/>
                <w:lang w:val="en-US" w:eastAsia="zh-CN"/>
              </w:rPr>
            </w:pPr>
            <w:r>
              <w:rPr>
                <w:rFonts w:hint="eastAsia" w:ascii="仿宋" w:hAnsi="仿宋" w:eastAsia="仿宋" w:cs="仿宋"/>
                <w:i w:val="0"/>
                <w:iCs w:val="0"/>
                <w:color w:val="000000"/>
                <w:kern w:val="0"/>
                <w:sz w:val="28"/>
                <w:szCs w:val="28"/>
                <w:u w:val="none"/>
                <w:lang w:val="en-US" w:eastAsia="zh-CN" w:bidi="ar"/>
              </w:rPr>
              <w:t>淼盾</w:t>
            </w:r>
          </w:p>
        </w:tc>
        <w:tc>
          <w:tcPr>
            <w:tcW w:w="177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利达</w:t>
            </w:r>
          </w:p>
        </w:tc>
        <w:tc>
          <w:tcPr>
            <w:tcW w:w="192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8"/>
                <w:szCs w:val="28"/>
                <w:u w:val="none"/>
                <w:lang w:val="en-US" w:eastAsia="zh-CN"/>
              </w:rPr>
            </w:pPr>
            <w:r>
              <w:rPr>
                <w:rFonts w:hint="eastAsia" w:ascii="仿宋" w:hAnsi="仿宋" w:eastAsia="仿宋" w:cs="仿宋"/>
                <w:i w:val="0"/>
                <w:iCs w:val="0"/>
                <w:color w:val="000000"/>
                <w:sz w:val="28"/>
                <w:szCs w:val="28"/>
                <w:u w:val="none"/>
                <w:lang w:val="en-US" w:eastAsia="zh-CN"/>
              </w:rPr>
              <w:t>蔚视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移动高压细水雾灭火装置</w:t>
            </w:r>
          </w:p>
        </w:tc>
        <w:tc>
          <w:tcPr>
            <w:tcW w:w="1768"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ind w:firstLine="280" w:firstLineChars="100"/>
              <w:jc w:val="both"/>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智创</w:t>
            </w:r>
          </w:p>
        </w:tc>
        <w:tc>
          <w:tcPr>
            <w:tcW w:w="177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达普</w:t>
            </w:r>
          </w:p>
        </w:tc>
        <w:tc>
          <w:tcPr>
            <w:tcW w:w="192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旭兴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27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sz w:val="28"/>
                <w:szCs w:val="28"/>
                <w:u w:val="none"/>
                <w:lang w:val="en-US"/>
              </w:rPr>
            </w:pPr>
            <w:r>
              <w:rPr>
                <w:rFonts w:hint="eastAsia" w:ascii="仿宋" w:hAnsi="仿宋" w:eastAsia="仿宋" w:cs="仿宋"/>
                <w:i w:val="0"/>
                <w:iCs w:val="0"/>
                <w:color w:val="000000"/>
                <w:kern w:val="0"/>
                <w:sz w:val="28"/>
                <w:szCs w:val="28"/>
                <w:u w:val="none"/>
                <w:lang w:val="en-US" w:eastAsia="zh-CN" w:bidi="ar"/>
              </w:rPr>
              <w:t>火灾报警主机</w:t>
            </w:r>
          </w:p>
        </w:tc>
        <w:tc>
          <w:tcPr>
            <w:tcW w:w="1768"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ind w:firstLine="280" w:firstLineChars="100"/>
              <w:jc w:val="both"/>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海湾</w:t>
            </w:r>
          </w:p>
        </w:tc>
        <w:tc>
          <w:tcPr>
            <w:tcW w:w="177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利达</w:t>
            </w:r>
          </w:p>
        </w:tc>
        <w:tc>
          <w:tcPr>
            <w:tcW w:w="1920" w:type="dxa"/>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松江</w:t>
            </w:r>
          </w:p>
        </w:tc>
      </w:tr>
    </w:tbl>
    <w:p>
      <w:pPr>
        <w:widowControl/>
        <w:jc w:val="left"/>
        <w:rPr>
          <w:rFonts w:hint="eastAsia" w:ascii="仿宋" w:hAnsi="仿宋" w:eastAsia="仿宋" w:cs="仿宋"/>
          <w:color w:val="000000"/>
          <w:kern w:val="0"/>
          <w:sz w:val="28"/>
          <w:szCs w:val="28"/>
          <w:lang w:val="en-US" w:eastAsia="zh-CN"/>
        </w:rPr>
      </w:pPr>
      <w:bookmarkStart w:id="1" w:name="_Hlk108447761"/>
      <w:r>
        <w:rPr>
          <w:rFonts w:hint="eastAsia" w:ascii="仿宋" w:hAnsi="仿宋" w:eastAsia="仿宋" w:cs="仿宋"/>
          <w:color w:val="000000"/>
          <w:kern w:val="0"/>
          <w:sz w:val="28"/>
          <w:szCs w:val="28"/>
          <w:lang w:val="zh-CN" w:eastAsia="zh-CN"/>
        </w:rPr>
        <w:t>投标单位可以选择推荐品牌，也可以选择性能不低于推荐品牌性能的其他品牌，但应在使用前向建设方提交拟用品牌的型号、信誉度、质量、性能、技术指标等相关证明材料，经建设方认可后方可使用。</w:t>
      </w:r>
      <w:bookmarkEnd w:id="1"/>
    </w:p>
    <w:p>
      <w:pPr>
        <w:widowControl/>
        <w:jc w:val="left"/>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val="en-US" w:eastAsia="zh-CN"/>
        </w:rPr>
        <w:t>五</w:t>
      </w:r>
      <w:r>
        <w:rPr>
          <w:rFonts w:hint="eastAsia" w:ascii="仿宋" w:hAnsi="仿宋" w:eastAsia="仿宋" w:cs="仿宋"/>
          <w:b/>
          <w:bCs/>
          <w:color w:val="auto"/>
          <w:kern w:val="0"/>
          <w:sz w:val="28"/>
          <w:szCs w:val="28"/>
          <w:highlight w:val="none"/>
          <w:lang w:eastAsia="zh-CN"/>
        </w:rPr>
        <w:t>、报价说明</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1、本合同为固定单价。本清单的工程量请投标单位根据招标图纸自行复核。</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措施费表中列出了常规单价措施费项目与总价措施项目，投标单位认为还有其他的项目，可在措施费表中进行补充填报，若未填报，则视投标单位已经考虑了除措施费表中列出的常规措施以外的全部措施费用。措施费包干使用，结算时，除工程变更引起施工方案改变外，承包人不得以招标工程措施项目清单缺项为由要求新增措施项目。</w:t>
      </w:r>
    </w:p>
    <w:p>
      <w:pPr>
        <w:widowControl/>
        <w:jc w:val="left"/>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3、投标人需要认真踏勘现场，充分了解现场工作界面、交叉施工配合、垂直和水平运输、成品保护需要、安全文明施工等因素，任何与现场情况有关的费用均需要包含在报价中，结算时不再进行任何调整。</w:t>
      </w:r>
    </w:p>
    <w:p>
      <w:pPr>
        <w:widowControl/>
        <w:jc w:val="left"/>
        <w:rPr>
          <w:rFonts w:hint="eastAsia" w:ascii="仿宋" w:hAnsi="仿宋" w:eastAsia="仿宋" w:cs="仿宋"/>
          <w:color w:val="000000"/>
          <w:kern w:val="0"/>
          <w:sz w:val="28"/>
          <w:szCs w:val="28"/>
          <w:lang w:val="en-US" w:eastAsia="zh-CN"/>
        </w:rPr>
      </w:pPr>
    </w:p>
    <w:p>
      <w:pPr>
        <w:widowControl/>
        <w:jc w:val="left"/>
        <w:rPr>
          <w:rFonts w:hint="eastAsia" w:ascii="仿宋" w:hAnsi="仿宋" w:eastAsia="仿宋" w:cs="仿宋"/>
          <w:color w:val="000000"/>
          <w:kern w:val="0"/>
          <w:sz w:val="28"/>
          <w:szCs w:val="28"/>
        </w:rPr>
      </w:pPr>
    </w:p>
    <w:p>
      <w:pPr>
        <w:widowControl/>
        <w:jc w:val="left"/>
        <w:rPr>
          <w:rFonts w:hint="default" w:ascii="仿宋" w:hAnsi="仿宋" w:eastAsia="仿宋" w:cs="仿宋"/>
          <w:color w:val="000000"/>
          <w:kern w:val="0"/>
          <w:sz w:val="28"/>
          <w:szCs w:val="28"/>
          <w:lang w:val="en-US" w:eastAsia="zh-CN"/>
        </w:rPr>
      </w:pPr>
    </w:p>
    <w:p>
      <w:pPr>
        <w:widowControl/>
        <w:jc w:val="left"/>
        <w:rPr>
          <w:rFonts w:hint="default" w:ascii="仿宋" w:hAnsi="仿宋" w:eastAsia="仿宋" w:cs="仿宋"/>
          <w:color w:val="000000"/>
          <w:kern w:val="0"/>
          <w:sz w:val="28"/>
          <w:szCs w:val="28"/>
          <w:lang w:val="en-US" w:eastAsia="zh-CN"/>
        </w:rPr>
      </w:pPr>
    </w:p>
    <w:p>
      <w:pPr>
        <w:widowControl/>
        <w:jc w:val="left"/>
        <w:rPr>
          <w:rFonts w:ascii="仿宋" w:hAnsi="仿宋" w:eastAsia="仿宋" w:cs="仿宋"/>
          <w:color w:val="000000"/>
          <w:kern w:val="0"/>
          <w:sz w:val="28"/>
          <w:szCs w:val="28"/>
        </w:rPr>
      </w:pPr>
    </w:p>
    <w:p>
      <w:pPr>
        <w:widowControl/>
        <w:jc w:val="left"/>
        <w:rPr>
          <w:rFonts w:ascii="仿宋" w:hAnsi="仿宋" w:eastAsia="仿宋" w:cs="仿宋"/>
          <w:color w:val="000000"/>
          <w:kern w:val="0"/>
          <w:sz w:val="28"/>
          <w:szCs w:val="28"/>
        </w:rPr>
      </w:pPr>
    </w:p>
    <w:sectPr>
      <w:pgSz w:w="11906" w:h="16838"/>
      <w:pgMar w:top="1440" w:right="1226"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DEF1D"/>
    <w:multiLevelType w:val="singleLevel"/>
    <w:tmpl w:val="14FDEF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zMjY1ZDExMmE4NzA4MDc1NTY1MjExNmRlYTllZTQifQ=="/>
  </w:docVars>
  <w:rsids>
    <w:rsidRoot w:val="00172A27"/>
    <w:rsid w:val="00046FAA"/>
    <w:rsid w:val="000815FF"/>
    <w:rsid w:val="00172A27"/>
    <w:rsid w:val="002266D9"/>
    <w:rsid w:val="0023185C"/>
    <w:rsid w:val="00233F45"/>
    <w:rsid w:val="002F150C"/>
    <w:rsid w:val="003C0B80"/>
    <w:rsid w:val="0040693E"/>
    <w:rsid w:val="00442646"/>
    <w:rsid w:val="0049240D"/>
    <w:rsid w:val="005C2FEA"/>
    <w:rsid w:val="005F0FC1"/>
    <w:rsid w:val="0063386B"/>
    <w:rsid w:val="006736F3"/>
    <w:rsid w:val="00681687"/>
    <w:rsid w:val="00681E9A"/>
    <w:rsid w:val="00720321"/>
    <w:rsid w:val="00720810"/>
    <w:rsid w:val="00756283"/>
    <w:rsid w:val="007929DE"/>
    <w:rsid w:val="009029BE"/>
    <w:rsid w:val="00933A67"/>
    <w:rsid w:val="009A4112"/>
    <w:rsid w:val="00A24F6D"/>
    <w:rsid w:val="00A31EB4"/>
    <w:rsid w:val="00A90AC8"/>
    <w:rsid w:val="00B06AC9"/>
    <w:rsid w:val="00B3229D"/>
    <w:rsid w:val="00B470AF"/>
    <w:rsid w:val="00B5322C"/>
    <w:rsid w:val="00B57904"/>
    <w:rsid w:val="00C37247"/>
    <w:rsid w:val="00C44FA1"/>
    <w:rsid w:val="00C73D5D"/>
    <w:rsid w:val="00CE07AA"/>
    <w:rsid w:val="00CF1089"/>
    <w:rsid w:val="00D24F55"/>
    <w:rsid w:val="00D73F3A"/>
    <w:rsid w:val="00DB3665"/>
    <w:rsid w:val="00E0722E"/>
    <w:rsid w:val="00E22ADD"/>
    <w:rsid w:val="00E65EA3"/>
    <w:rsid w:val="00E90B21"/>
    <w:rsid w:val="00EA474C"/>
    <w:rsid w:val="00F1514E"/>
    <w:rsid w:val="00FB3CCD"/>
    <w:rsid w:val="015105E2"/>
    <w:rsid w:val="01595CA8"/>
    <w:rsid w:val="0204742C"/>
    <w:rsid w:val="02385327"/>
    <w:rsid w:val="025C1016"/>
    <w:rsid w:val="02714395"/>
    <w:rsid w:val="02830417"/>
    <w:rsid w:val="02E659FF"/>
    <w:rsid w:val="03583F23"/>
    <w:rsid w:val="03EF37CB"/>
    <w:rsid w:val="049607E3"/>
    <w:rsid w:val="05145BD8"/>
    <w:rsid w:val="056B3F04"/>
    <w:rsid w:val="05B539A6"/>
    <w:rsid w:val="05C42D45"/>
    <w:rsid w:val="060D47B2"/>
    <w:rsid w:val="06C718A4"/>
    <w:rsid w:val="070B4ABA"/>
    <w:rsid w:val="07EA0915"/>
    <w:rsid w:val="08876787"/>
    <w:rsid w:val="08CA536D"/>
    <w:rsid w:val="08DB406B"/>
    <w:rsid w:val="08DB4B2E"/>
    <w:rsid w:val="090E6DE2"/>
    <w:rsid w:val="09293C1C"/>
    <w:rsid w:val="095E6930"/>
    <w:rsid w:val="099102F1"/>
    <w:rsid w:val="09BC4A90"/>
    <w:rsid w:val="0A334D52"/>
    <w:rsid w:val="0A432B59"/>
    <w:rsid w:val="0A4439E3"/>
    <w:rsid w:val="0A8404C6"/>
    <w:rsid w:val="0AE222D4"/>
    <w:rsid w:val="0B59735F"/>
    <w:rsid w:val="0C894132"/>
    <w:rsid w:val="0C8F4D2C"/>
    <w:rsid w:val="0C937D2A"/>
    <w:rsid w:val="0CA03271"/>
    <w:rsid w:val="0CD57623"/>
    <w:rsid w:val="0CE9701C"/>
    <w:rsid w:val="0D07284D"/>
    <w:rsid w:val="0D3D5EE8"/>
    <w:rsid w:val="0DAB0B33"/>
    <w:rsid w:val="0DBA3E06"/>
    <w:rsid w:val="0E2B45B9"/>
    <w:rsid w:val="0EDD34DE"/>
    <w:rsid w:val="0F3D2D9F"/>
    <w:rsid w:val="0F704352"/>
    <w:rsid w:val="0F9D716F"/>
    <w:rsid w:val="0FD50659"/>
    <w:rsid w:val="0FE60C0D"/>
    <w:rsid w:val="0FF07241"/>
    <w:rsid w:val="0FF94348"/>
    <w:rsid w:val="10C83C7C"/>
    <w:rsid w:val="10CB4805"/>
    <w:rsid w:val="110D2E58"/>
    <w:rsid w:val="117D1D7A"/>
    <w:rsid w:val="11B24282"/>
    <w:rsid w:val="12502219"/>
    <w:rsid w:val="13410412"/>
    <w:rsid w:val="1370529C"/>
    <w:rsid w:val="138C54D3"/>
    <w:rsid w:val="13DC2AD6"/>
    <w:rsid w:val="14216F44"/>
    <w:rsid w:val="14380E08"/>
    <w:rsid w:val="143E5AD3"/>
    <w:rsid w:val="1473798B"/>
    <w:rsid w:val="15514EB0"/>
    <w:rsid w:val="155D7127"/>
    <w:rsid w:val="156F60A3"/>
    <w:rsid w:val="1590310F"/>
    <w:rsid w:val="15B40908"/>
    <w:rsid w:val="15F20D4E"/>
    <w:rsid w:val="16E66CA8"/>
    <w:rsid w:val="18795136"/>
    <w:rsid w:val="189866C8"/>
    <w:rsid w:val="18F15A7E"/>
    <w:rsid w:val="192D79F2"/>
    <w:rsid w:val="1938589C"/>
    <w:rsid w:val="19B941BC"/>
    <w:rsid w:val="1A28691C"/>
    <w:rsid w:val="1A886F23"/>
    <w:rsid w:val="1B577A48"/>
    <w:rsid w:val="1BA9334A"/>
    <w:rsid w:val="1BB95BD7"/>
    <w:rsid w:val="1C4A1A87"/>
    <w:rsid w:val="1C974983"/>
    <w:rsid w:val="1CA7512B"/>
    <w:rsid w:val="1CB53CC4"/>
    <w:rsid w:val="1CEE6E6D"/>
    <w:rsid w:val="1CF625C4"/>
    <w:rsid w:val="1CFE3FD2"/>
    <w:rsid w:val="1D3D0F1B"/>
    <w:rsid w:val="1D5051F9"/>
    <w:rsid w:val="1DA04055"/>
    <w:rsid w:val="1E2F362A"/>
    <w:rsid w:val="1E58492F"/>
    <w:rsid w:val="1EA77665"/>
    <w:rsid w:val="1EF87EC0"/>
    <w:rsid w:val="1EF939A8"/>
    <w:rsid w:val="1F182311"/>
    <w:rsid w:val="1F1F0FD9"/>
    <w:rsid w:val="1F881244"/>
    <w:rsid w:val="1FAF67D1"/>
    <w:rsid w:val="1FC64BE9"/>
    <w:rsid w:val="206019EA"/>
    <w:rsid w:val="20DB35F6"/>
    <w:rsid w:val="211F066C"/>
    <w:rsid w:val="21B11B23"/>
    <w:rsid w:val="22421B7E"/>
    <w:rsid w:val="22AE5664"/>
    <w:rsid w:val="22DE18BD"/>
    <w:rsid w:val="22E621BB"/>
    <w:rsid w:val="23CE7442"/>
    <w:rsid w:val="243B7B2B"/>
    <w:rsid w:val="247B07CB"/>
    <w:rsid w:val="24896BBF"/>
    <w:rsid w:val="25BE5E0A"/>
    <w:rsid w:val="26084F59"/>
    <w:rsid w:val="261D29F8"/>
    <w:rsid w:val="26267C0E"/>
    <w:rsid w:val="26704C1D"/>
    <w:rsid w:val="26824AAB"/>
    <w:rsid w:val="26EF1111"/>
    <w:rsid w:val="27F432AB"/>
    <w:rsid w:val="28610989"/>
    <w:rsid w:val="287E5759"/>
    <w:rsid w:val="291F0375"/>
    <w:rsid w:val="295E1C00"/>
    <w:rsid w:val="29AD169E"/>
    <w:rsid w:val="29F36B9D"/>
    <w:rsid w:val="2AF778E2"/>
    <w:rsid w:val="2BB669BF"/>
    <w:rsid w:val="2C0E7C43"/>
    <w:rsid w:val="2C772F68"/>
    <w:rsid w:val="2C821409"/>
    <w:rsid w:val="2CBB61B1"/>
    <w:rsid w:val="2CC47634"/>
    <w:rsid w:val="2CD30C83"/>
    <w:rsid w:val="2D0F4D53"/>
    <w:rsid w:val="2DBB0FD8"/>
    <w:rsid w:val="2DC27896"/>
    <w:rsid w:val="2DCF44E2"/>
    <w:rsid w:val="2DD1025A"/>
    <w:rsid w:val="2DE014CC"/>
    <w:rsid w:val="2DFE6140"/>
    <w:rsid w:val="2E3507E9"/>
    <w:rsid w:val="2E8D23D3"/>
    <w:rsid w:val="2EB2493A"/>
    <w:rsid w:val="2ED00512"/>
    <w:rsid w:val="2F1F6DA3"/>
    <w:rsid w:val="2F3A58F8"/>
    <w:rsid w:val="2F8B179F"/>
    <w:rsid w:val="30016C56"/>
    <w:rsid w:val="301D0C13"/>
    <w:rsid w:val="3036103B"/>
    <w:rsid w:val="30AE4883"/>
    <w:rsid w:val="30B31E99"/>
    <w:rsid w:val="30E24B34"/>
    <w:rsid w:val="31C81974"/>
    <w:rsid w:val="31E15BBD"/>
    <w:rsid w:val="323A4620"/>
    <w:rsid w:val="324172EA"/>
    <w:rsid w:val="32FF7497"/>
    <w:rsid w:val="331E7B37"/>
    <w:rsid w:val="33A2469A"/>
    <w:rsid w:val="33A60626"/>
    <w:rsid w:val="33E855B1"/>
    <w:rsid w:val="342F794E"/>
    <w:rsid w:val="343F6A78"/>
    <w:rsid w:val="344E1174"/>
    <w:rsid w:val="345667F4"/>
    <w:rsid w:val="345C4327"/>
    <w:rsid w:val="34764734"/>
    <w:rsid w:val="34D77005"/>
    <w:rsid w:val="34F211E2"/>
    <w:rsid w:val="35DF03C8"/>
    <w:rsid w:val="3684532C"/>
    <w:rsid w:val="37EF7C5B"/>
    <w:rsid w:val="37FC671F"/>
    <w:rsid w:val="383B5DEF"/>
    <w:rsid w:val="392D0842"/>
    <w:rsid w:val="394A1524"/>
    <w:rsid w:val="394D10CA"/>
    <w:rsid w:val="398F1754"/>
    <w:rsid w:val="39EF2A8F"/>
    <w:rsid w:val="3A233361"/>
    <w:rsid w:val="3A2A31CC"/>
    <w:rsid w:val="3A761C01"/>
    <w:rsid w:val="3AD4138A"/>
    <w:rsid w:val="3B23560C"/>
    <w:rsid w:val="3C1D2745"/>
    <w:rsid w:val="3D567E34"/>
    <w:rsid w:val="3D6F0EF6"/>
    <w:rsid w:val="3D7E7A69"/>
    <w:rsid w:val="3D7F55DD"/>
    <w:rsid w:val="3E7F2FB5"/>
    <w:rsid w:val="3EA01CAF"/>
    <w:rsid w:val="3EA26D32"/>
    <w:rsid w:val="3EB25068"/>
    <w:rsid w:val="3F2F23C3"/>
    <w:rsid w:val="3F566811"/>
    <w:rsid w:val="3F817615"/>
    <w:rsid w:val="40955117"/>
    <w:rsid w:val="410B76C5"/>
    <w:rsid w:val="415A65A6"/>
    <w:rsid w:val="420460B1"/>
    <w:rsid w:val="420C2FF0"/>
    <w:rsid w:val="42332E3A"/>
    <w:rsid w:val="42433190"/>
    <w:rsid w:val="424E26C2"/>
    <w:rsid w:val="429733C9"/>
    <w:rsid w:val="430D368B"/>
    <w:rsid w:val="435968D0"/>
    <w:rsid w:val="43C9607D"/>
    <w:rsid w:val="43D4514A"/>
    <w:rsid w:val="44AD0F4B"/>
    <w:rsid w:val="44BD374E"/>
    <w:rsid w:val="44DC118D"/>
    <w:rsid w:val="45070C3E"/>
    <w:rsid w:val="453C5EB9"/>
    <w:rsid w:val="46213E75"/>
    <w:rsid w:val="463B3701"/>
    <w:rsid w:val="46DD564E"/>
    <w:rsid w:val="47340A69"/>
    <w:rsid w:val="4770243A"/>
    <w:rsid w:val="477C0DDF"/>
    <w:rsid w:val="479A5070"/>
    <w:rsid w:val="47A905F9"/>
    <w:rsid w:val="47CD163B"/>
    <w:rsid w:val="47E03254"/>
    <w:rsid w:val="48366303"/>
    <w:rsid w:val="48966C1E"/>
    <w:rsid w:val="489804A0"/>
    <w:rsid w:val="493A4A7F"/>
    <w:rsid w:val="495A5D0B"/>
    <w:rsid w:val="497D507F"/>
    <w:rsid w:val="4A2718A5"/>
    <w:rsid w:val="4A3459A1"/>
    <w:rsid w:val="4A3E05CE"/>
    <w:rsid w:val="4A98117A"/>
    <w:rsid w:val="4AB75AFE"/>
    <w:rsid w:val="4ABA7782"/>
    <w:rsid w:val="4B091E00"/>
    <w:rsid w:val="4B8374FB"/>
    <w:rsid w:val="4BA13895"/>
    <w:rsid w:val="4BB45291"/>
    <w:rsid w:val="4BD765E4"/>
    <w:rsid w:val="4BE07B8E"/>
    <w:rsid w:val="4BE62CCB"/>
    <w:rsid w:val="4BED3FAC"/>
    <w:rsid w:val="4C565C4F"/>
    <w:rsid w:val="4CD103F8"/>
    <w:rsid w:val="4CE73553"/>
    <w:rsid w:val="4D01600E"/>
    <w:rsid w:val="4E21623C"/>
    <w:rsid w:val="4E23478C"/>
    <w:rsid w:val="4ED65279"/>
    <w:rsid w:val="4EF776A3"/>
    <w:rsid w:val="4F18763F"/>
    <w:rsid w:val="4F1C2272"/>
    <w:rsid w:val="4F3B332E"/>
    <w:rsid w:val="4F8F3C34"/>
    <w:rsid w:val="4FF64C07"/>
    <w:rsid w:val="504E08FF"/>
    <w:rsid w:val="50570578"/>
    <w:rsid w:val="50EE62B8"/>
    <w:rsid w:val="50F758A2"/>
    <w:rsid w:val="519B7125"/>
    <w:rsid w:val="51F83758"/>
    <w:rsid w:val="525C3CE7"/>
    <w:rsid w:val="526474EB"/>
    <w:rsid w:val="52A701B1"/>
    <w:rsid w:val="52B57F62"/>
    <w:rsid w:val="52D17CFC"/>
    <w:rsid w:val="53540DE5"/>
    <w:rsid w:val="538E04B4"/>
    <w:rsid w:val="53DA711C"/>
    <w:rsid w:val="53E62163"/>
    <w:rsid w:val="53EA3615"/>
    <w:rsid w:val="54BB4ED0"/>
    <w:rsid w:val="55561DAD"/>
    <w:rsid w:val="55E262B1"/>
    <w:rsid w:val="55E74AF5"/>
    <w:rsid w:val="56973A73"/>
    <w:rsid w:val="56CB6A56"/>
    <w:rsid w:val="574C257C"/>
    <w:rsid w:val="57B819BF"/>
    <w:rsid w:val="57E436D1"/>
    <w:rsid w:val="58337298"/>
    <w:rsid w:val="587738CD"/>
    <w:rsid w:val="58AE63E6"/>
    <w:rsid w:val="58E64067"/>
    <w:rsid w:val="58F34FCC"/>
    <w:rsid w:val="59007CCD"/>
    <w:rsid w:val="592B4413"/>
    <w:rsid w:val="5943175D"/>
    <w:rsid w:val="5A651ED0"/>
    <w:rsid w:val="5A786609"/>
    <w:rsid w:val="5AA443E3"/>
    <w:rsid w:val="5AF03035"/>
    <w:rsid w:val="5B060C94"/>
    <w:rsid w:val="5B1A781C"/>
    <w:rsid w:val="5B5E287E"/>
    <w:rsid w:val="5BC656FE"/>
    <w:rsid w:val="5C0B7802"/>
    <w:rsid w:val="5C7553DE"/>
    <w:rsid w:val="5C7C0549"/>
    <w:rsid w:val="5C7D31D8"/>
    <w:rsid w:val="5CFB0152"/>
    <w:rsid w:val="5D435633"/>
    <w:rsid w:val="5E7423B8"/>
    <w:rsid w:val="5F37239B"/>
    <w:rsid w:val="5F6661A5"/>
    <w:rsid w:val="5FF67529"/>
    <w:rsid w:val="60121E89"/>
    <w:rsid w:val="60650753"/>
    <w:rsid w:val="6084243F"/>
    <w:rsid w:val="60C4089C"/>
    <w:rsid w:val="60F34D2C"/>
    <w:rsid w:val="610E43FE"/>
    <w:rsid w:val="614A0572"/>
    <w:rsid w:val="614E57C2"/>
    <w:rsid w:val="61E30FAB"/>
    <w:rsid w:val="61E47158"/>
    <w:rsid w:val="630C7063"/>
    <w:rsid w:val="63136EC9"/>
    <w:rsid w:val="633F2F95"/>
    <w:rsid w:val="634E1167"/>
    <w:rsid w:val="637A221F"/>
    <w:rsid w:val="637C3954"/>
    <w:rsid w:val="63A76158"/>
    <w:rsid w:val="63FE4BFE"/>
    <w:rsid w:val="6464390D"/>
    <w:rsid w:val="64654C7D"/>
    <w:rsid w:val="64696AEA"/>
    <w:rsid w:val="650F4BE9"/>
    <w:rsid w:val="651C6ED9"/>
    <w:rsid w:val="65FE4B1F"/>
    <w:rsid w:val="6616004D"/>
    <w:rsid w:val="66417ADD"/>
    <w:rsid w:val="67317034"/>
    <w:rsid w:val="67B84B39"/>
    <w:rsid w:val="67C63C85"/>
    <w:rsid w:val="683E62CF"/>
    <w:rsid w:val="686D2352"/>
    <w:rsid w:val="68CA068D"/>
    <w:rsid w:val="68E116CB"/>
    <w:rsid w:val="69557DD1"/>
    <w:rsid w:val="695B664F"/>
    <w:rsid w:val="6A02574C"/>
    <w:rsid w:val="6A197F48"/>
    <w:rsid w:val="6B273240"/>
    <w:rsid w:val="6BCB679B"/>
    <w:rsid w:val="6BE62FF5"/>
    <w:rsid w:val="6C3715B9"/>
    <w:rsid w:val="6CBD61EE"/>
    <w:rsid w:val="6CD94479"/>
    <w:rsid w:val="6D0C7C27"/>
    <w:rsid w:val="6DDF18D1"/>
    <w:rsid w:val="6DF96D0D"/>
    <w:rsid w:val="6EB365E5"/>
    <w:rsid w:val="6FC83880"/>
    <w:rsid w:val="71031AA6"/>
    <w:rsid w:val="715C707C"/>
    <w:rsid w:val="715F1EFF"/>
    <w:rsid w:val="71FD45F3"/>
    <w:rsid w:val="720D239F"/>
    <w:rsid w:val="72396736"/>
    <w:rsid w:val="72BF3BD6"/>
    <w:rsid w:val="734453EF"/>
    <w:rsid w:val="73B4484B"/>
    <w:rsid w:val="73CB617F"/>
    <w:rsid w:val="746255A9"/>
    <w:rsid w:val="74784DFC"/>
    <w:rsid w:val="74AF00F8"/>
    <w:rsid w:val="74C212BC"/>
    <w:rsid w:val="74C33780"/>
    <w:rsid w:val="74D07EF1"/>
    <w:rsid w:val="74FA31C0"/>
    <w:rsid w:val="74FE5DB5"/>
    <w:rsid w:val="75091311"/>
    <w:rsid w:val="754976D0"/>
    <w:rsid w:val="756B6401"/>
    <w:rsid w:val="75AB1BC1"/>
    <w:rsid w:val="75C25A4F"/>
    <w:rsid w:val="760E5BA7"/>
    <w:rsid w:val="765B0215"/>
    <w:rsid w:val="76B86DCF"/>
    <w:rsid w:val="77217FCD"/>
    <w:rsid w:val="772E36C2"/>
    <w:rsid w:val="775D0995"/>
    <w:rsid w:val="778536B4"/>
    <w:rsid w:val="77C6382D"/>
    <w:rsid w:val="78197E01"/>
    <w:rsid w:val="782C6919"/>
    <w:rsid w:val="78362761"/>
    <w:rsid w:val="78A7540C"/>
    <w:rsid w:val="78E26444"/>
    <w:rsid w:val="790E1269"/>
    <w:rsid w:val="7944495D"/>
    <w:rsid w:val="79773031"/>
    <w:rsid w:val="798863C2"/>
    <w:rsid w:val="7A0643B5"/>
    <w:rsid w:val="7A171A7A"/>
    <w:rsid w:val="7A5E6357"/>
    <w:rsid w:val="7AD27F2F"/>
    <w:rsid w:val="7B05205B"/>
    <w:rsid w:val="7B533629"/>
    <w:rsid w:val="7BAA7120"/>
    <w:rsid w:val="7BC25EFC"/>
    <w:rsid w:val="7BC42A16"/>
    <w:rsid w:val="7C3C3116"/>
    <w:rsid w:val="7C3F3D01"/>
    <w:rsid w:val="7CC320E9"/>
    <w:rsid w:val="7D494429"/>
    <w:rsid w:val="7D697134"/>
    <w:rsid w:val="7DEA7E56"/>
    <w:rsid w:val="7E391D83"/>
    <w:rsid w:val="7E656B9C"/>
    <w:rsid w:val="7E7062A0"/>
    <w:rsid w:val="7E893128"/>
    <w:rsid w:val="7EA5419C"/>
    <w:rsid w:val="7EAF6DC9"/>
    <w:rsid w:val="7F016D36"/>
    <w:rsid w:val="7F114F4A"/>
    <w:rsid w:val="7F7818B1"/>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微软雅黑" w:asciiTheme="minorHAnsi" w:hAnsiTheme="minorHAnsi" w:eastAsiaTheme="minorEastAsia"/>
      <w:kern w:val="2"/>
      <w:sz w:val="24"/>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basedOn w:val="6"/>
    <w:qFormat/>
    <w:uiPriority w:val="0"/>
    <w:rPr>
      <w:color w:val="F73131"/>
    </w:rPr>
  </w:style>
  <w:style w:type="character" w:styleId="8">
    <w:name w:val="HTML Cite"/>
    <w:basedOn w:val="6"/>
    <w:qFormat/>
    <w:uiPriority w:val="0"/>
    <w:rPr>
      <w:color w:val="008000"/>
    </w:rPr>
  </w:style>
  <w:style w:type="character" w:customStyle="1" w:styleId="9">
    <w:name w:val="页眉 字符"/>
    <w:basedOn w:val="6"/>
    <w:link w:val="3"/>
    <w:qFormat/>
    <w:uiPriority w:val="0"/>
    <w:rPr>
      <w:rFonts w:cs="微软雅黑"/>
      <w:kern w:val="2"/>
      <w:sz w:val="18"/>
      <w:szCs w:val="18"/>
    </w:rPr>
  </w:style>
  <w:style w:type="character" w:customStyle="1" w:styleId="10">
    <w:name w:val="页脚 字符"/>
    <w:basedOn w:val="6"/>
    <w:link w:val="2"/>
    <w:qFormat/>
    <w:uiPriority w:val="0"/>
    <w:rPr>
      <w:rFonts w:cs="微软雅黑"/>
      <w:kern w:val="2"/>
      <w:sz w:val="18"/>
      <w:szCs w:val="18"/>
    </w:rPr>
  </w:style>
  <w:style w:type="character" w:customStyle="1" w:styleId="11">
    <w:name w:val="c-icon29"/>
    <w:basedOn w:val="6"/>
    <w:qFormat/>
    <w:uiPriority w:val="0"/>
  </w:style>
  <w:style w:type="character" w:customStyle="1" w:styleId="12">
    <w:name w:val="hover31"/>
    <w:basedOn w:val="6"/>
    <w:qFormat/>
    <w:uiPriority w:val="0"/>
  </w:style>
  <w:style w:type="character" w:customStyle="1" w:styleId="13">
    <w:name w:val="hover32"/>
    <w:basedOn w:val="6"/>
    <w:qFormat/>
    <w:uiPriority w:val="0"/>
    <w:rPr>
      <w:color w:val="315EFB"/>
    </w:rPr>
  </w:style>
  <w:style w:type="character" w:customStyle="1" w:styleId="14">
    <w:name w:val="hover33"/>
    <w:basedOn w:val="6"/>
    <w:qFormat/>
    <w:uiPriority w:val="0"/>
    <w:rPr>
      <w:color w:val="315EFB"/>
    </w:rPr>
  </w:style>
  <w:style w:type="paragraph" w:customStyle="1" w:styleId="15">
    <w:name w:val="cos-line-clamp-1"/>
    <w:basedOn w:val="1"/>
    <w:qFormat/>
    <w:uiPriority w:val="0"/>
    <w:pPr>
      <w:jc w:val="left"/>
    </w:pPr>
    <w:rPr>
      <w:kern w:val="0"/>
      <w:lang w:val="en-US" w:eastAsia="zh-CN" w:bidi="ar"/>
    </w:rPr>
  </w:style>
  <w:style w:type="character" w:customStyle="1" w:styleId="16">
    <w:name w:val="ec_d20_recomm_link2"/>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4</Pages>
  <Words>1600</Words>
  <Characters>1649</Characters>
  <Lines>76</Lines>
  <Paragraphs>21</Paragraphs>
  <TotalTime>0</TotalTime>
  <ScaleCrop>false</ScaleCrop>
  <LinksUpToDate>false</LinksUpToDate>
  <CharactersWithSpaces>1655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小彩</cp:lastModifiedBy>
  <dcterms:modified xsi:type="dcterms:W3CDTF">2023-08-29T07:48:05Z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3FF0B2D9AC0E4D949F6FB401E2EF2778_13</vt:lpwstr>
  </property>
</Properties>
</file>