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b/>
          <w:bCs/>
          <w:color w:val="auto"/>
          <w:sz w:val="28"/>
          <w:szCs w:val="28"/>
          <w:lang w:val="en-US" w:eastAsia="zh-CN"/>
        </w:rPr>
      </w:pPr>
      <w:bookmarkStart w:id="0" w:name="_GoBack"/>
      <w:r>
        <w:rPr>
          <w:rFonts w:hint="eastAsia"/>
          <w:b/>
          <w:bCs/>
          <w:color w:val="auto"/>
          <w:sz w:val="28"/>
          <w:szCs w:val="28"/>
          <w:lang w:val="en-US" w:eastAsia="zh-CN"/>
        </w:rPr>
        <w:t>薛埠镇南岗桥（南港桥）危桥整治工程</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b/>
          <w:bCs/>
          <w:color w:val="auto"/>
          <w:sz w:val="28"/>
          <w:szCs w:val="28"/>
        </w:rPr>
      </w:pPr>
      <w:r>
        <w:rPr>
          <w:rFonts w:hint="eastAsia"/>
          <w:b/>
          <w:bCs/>
          <w:color w:val="auto"/>
          <w:sz w:val="28"/>
          <w:szCs w:val="28"/>
          <w:lang w:val="en-US" w:eastAsia="zh-CN"/>
        </w:rPr>
        <w:t>招标控制价</w:t>
      </w:r>
      <w:r>
        <w:rPr>
          <w:b/>
          <w:bCs/>
          <w:color w:val="auto"/>
          <w:sz w:val="28"/>
          <w:szCs w:val="28"/>
        </w:rPr>
        <w:t>编制说明</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b/>
          <w:bCs/>
          <w:color w:val="auto"/>
          <w:sz w:val="24"/>
          <w:szCs w:val="24"/>
        </w:rPr>
      </w:pPr>
      <w:r>
        <w:rPr>
          <w:b/>
          <w:bCs/>
          <w:color w:val="auto"/>
          <w:sz w:val="24"/>
          <w:szCs w:val="24"/>
        </w:rPr>
        <w:t>一、工程概况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本工程为</w:t>
      </w:r>
      <w:r>
        <w:rPr>
          <w:rFonts w:hint="eastAsia"/>
          <w:color w:val="auto"/>
          <w:sz w:val="24"/>
          <w:szCs w:val="24"/>
        </w:rPr>
        <w:t>薛埠镇南岗桥（南港桥）危桥整治工程</w:t>
      </w:r>
      <w:r>
        <w:rPr>
          <w:color w:val="auto"/>
          <w:sz w:val="24"/>
          <w:szCs w:val="24"/>
        </w:rPr>
        <w:t>，</w:t>
      </w:r>
      <w:r>
        <w:rPr>
          <w:rFonts w:hint="eastAsia"/>
          <w:color w:val="auto"/>
          <w:sz w:val="24"/>
          <w:szCs w:val="24"/>
        </w:rPr>
        <w:t>排长河路：路面宽度为11m，水泥混凝土路该路是盘固水泥厂货车主要出入通道，以重载货车为主。现状南岗桥为1x8m板梁桥，下部结构为重力式桥台。根据2022年常州市金坛区农村公路桥梁（薛埠镇）常规定期检查报告中检测结论：该桥技术状况评定为总体4类，根据《公路桥涵养护规范》（JTG 5120-2021）3.8.3节养护对策，4类桥梁需要进行修复养护、加固或改造，进行交通管制。本次改造考虑对其进行拆除新建，</w:t>
      </w:r>
      <w:r>
        <w:rPr>
          <w:color w:val="auto"/>
          <w:sz w:val="24"/>
          <w:szCs w:val="24"/>
        </w:rPr>
        <w:t>具体详见招标文件有关内容。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rPr>
      </w:pPr>
      <w:r>
        <w:rPr>
          <w:rFonts w:hint="eastAsia"/>
          <w:color w:val="auto"/>
          <w:sz w:val="24"/>
          <w:szCs w:val="24"/>
        </w:rPr>
        <w:t>桥梁设置表</w:t>
      </w:r>
    </w:p>
    <w:tbl>
      <w:tblPr>
        <w:tblStyle w:val="4"/>
        <w:tblW w:w="840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394"/>
        <w:gridCol w:w="1206"/>
        <w:gridCol w:w="567"/>
        <w:gridCol w:w="992"/>
        <w:gridCol w:w="850"/>
        <w:gridCol w:w="993"/>
        <w:gridCol w:w="1346"/>
        <w:gridCol w:w="992"/>
        <w:gridCol w:w="10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00" w:hRule="atLeast"/>
          <w:tblHeader/>
          <w:jc w:val="center"/>
        </w:trPr>
        <w:tc>
          <w:tcPr>
            <w:tcW w:w="394" w:type="dxa"/>
            <w:vMerge w:val="restart"/>
            <w:noWrap w:val="0"/>
            <w:vAlign w:val="center"/>
          </w:tcPr>
          <w:p>
            <w:pPr>
              <w:widowControl/>
              <w:jc w:val="center"/>
              <w:rPr>
                <w:rFonts w:cs="宋体"/>
                <w:color w:val="auto"/>
                <w:kern w:val="0"/>
                <w:sz w:val="18"/>
                <w:szCs w:val="18"/>
              </w:rPr>
            </w:pPr>
            <w:r>
              <w:rPr>
                <w:rFonts w:hint="eastAsia" w:cs="宋体"/>
                <w:color w:val="auto"/>
                <w:kern w:val="0"/>
                <w:sz w:val="18"/>
                <w:szCs w:val="18"/>
              </w:rPr>
              <w:t>序号</w:t>
            </w:r>
          </w:p>
        </w:tc>
        <w:tc>
          <w:tcPr>
            <w:tcW w:w="1206" w:type="dxa"/>
            <w:vMerge w:val="restart"/>
            <w:noWrap w:val="0"/>
            <w:vAlign w:val="center"/>
          </w:tcPr>
          <w:p>
            <w:pPr>
              <w:widowControl/>
              <w:jc w:val="center"/>
              <w:rPr>
                <w:rFonts w:cs="宋体"/>
                <w:color w:val="auto"/>
                <w:kern w:val="0"/>
                <w:sz w:val="18"/>
                <w:szCs w:val="18"/>
              </w:rPr>
            </w:pPr>
            <w:r>
              <w:rPr>
                <w:rFonts w:hint="eastAsia" w:cs="宋体"/>
                <w:color w:val="auto"/>
                <w:kern w:val="0"/>
                <w:sz w:val="18"/>
                <w:szCs w:val="18"/>
              </w:rPr>
              <w:t>桥名</w:t>
            </w:r>
          </w:p>
        </w:tc>
        <w:tc>
          <w:tcPr>
            <w:tcW w:w="567" w:type="dxa"/>
            <w:vMerge w:val="restart"/>
            <w:noWrap w:val="0"/>
            <w:vAlign w:val="center"/>
          </w:tcPr>
          <w:p>
            <w:pPr>
              <w:widowControl/>
              <w:jc w:val="center"/>
              <w:rPr>
                <w:rFonts w:cs="宋体"/>
                <w:color w:val="auto"/>
                <w:kern w:val="0"/>
                <w:sz w:val="18"/>
                <w:szCs w:val="18"/>
              </w:rPr>
            </w:pPr>
            <w:r>
              <w:rPr>
                <w:rFonts w:hint="eastAsia" w:cs="宋体"/>
                <w:color w:val="auto"/>
                <w:kern w:val="0"/>
                <w:sz w:val="18"/>
                <w:szCs w:val="18"/>
              </w:rPr>
              <w:t>角度</w:t>
            </w:r>
          </w:p>
        </w:tc>
        <w:tc>
          <w:tcPr>
            <w:tcW w:w="992" w:type="dxa"/>
            <w:vMerge w:val="restart"/>
            <w:noWrap w:val="0"/>
            <w:vAlign w:val="center"/>
          </w:tcPr>
          <w:p>
            <w:pPr>
              <w:widowControl/>
              <w:jc w:val="center"/>
              <w:rPr>
                <w:rFonts w:cs="宋体"/>
                <w:color w:val="auto"/>
                <w:kern w:val="0"/>
                <w:sz w:val="18"/>
                <w:szCs w:val="18"/>
              </w:rPr>
            </w:pPr>
            <w:r>
              <w:rPr>
                <w:rFonts w:hint="eastAsia" w:cs="宋体"/>
                <w:color w:val="auto"/>
                <w:kern w:val="0"/>
                <w:sz w:val="18"/>
                <w:szCs w:val="18"/>
              </w:rPr>
              <w:t>跨径（nxm)</w:t>
            </w:r>
          </w:p>
        </w:tc>
        <w:tc>
          <w:tcPr>
            <w:tcW w:w="850" w:type="dxa"/>
            <w:vMerge w:val="restart"/>
            <w:noWrap w:val="0"/>
            <w:vAlign w:val="center"/>
          </w:tcPr>
          <w:p>
            <w:pPr>
              <w:widowControl/>
              <w:jc w:val="center"/>
              <w:rPr>
                <w:rFonts w:cs="宋体"/>
                <w:color w:val="auto"/>
                <w:kern w:val="0"/>
                <w:sz w:val="18"/>
                <w:szCs w:val="18"/>
              </w:rPr>
            </w:pPr>
            <w:r>
              <w:rPr>
                <w:rFonts w:hint="eastAsia" w:cs="宋体"/>
                <w:color w:val="auto"/>
                <w:kern w:val="0"/>
                <w:sz w:val="18"/>
                <w:szCs w:val="18"/>
              </w:rPr>
              <w:t>全长(m)</w:t>
            </w:r>
          </w:p>
        </w:tc>
        <w:tc>
          <w:tcPr>
            <w:tcW w:w="3331" w:type="dxa"/>
            <w:gridSpan w:val="3"/>
            <w:noWrap w:val="0"/>
            <w:vAlign w:val="center"/>
          </w:tcPr>
          <w:p>
            <w:pPr>
              <w:widowControl/>
              <w:jc w:val="center"/>
              <w:rPr>
                <w:rFonts w:cs="宋体"/>
                <w:color w:val="auto"/>
                <w:kern w:val="0"/>
                <w:sz w:val="18"/>
                <w:szCs w:val="18"/>
              </w:rPr>
            </w:pPr>
            <w:r>
              <w:rPr>
                <w:rFonts w:hint="eastAsia" w:cs="宋体"/>
                <w:color w:val="auto"/>
                <w:kern w:val="0"/>
                <w:sz w:val="18"/>
                <w:szCs w:val="18"/>
              </w:rPr>
              <w:t>结构形式</w:t>
            </w:r>
          </w:p>
        </w:tc>
        <w:tc>
          <w:tcPr>
            <w:tcW w:w="1064" w:type="dxa"/>
            <w:vMerge w:val="restart"/>
            <w:noWrap w:val="0"/>
            <w:vAlign w:val="top"/>
          </w:tcPr>
          <w:p>
            <w:pPr>
              <w:widowControl/>
              <w:jc w:val="center"/>
              <w:rPr>
                <w:rFonts w:hint="eastAsia" w:cs="宋体"/>
                <w:color w:val="auto"/>
                <w:kern w:val="0"/>
                <w:sz w:val="18"/>
                <w:szCs w:val="18"/>
              </w:rPr>
            </w:pPr>
          </w:p>
          <w:p>
            <w:pPr>
              <w:widowControl/>
              <w:jc w:val="center"/>
              <w:rPr>
                <w:rFonts w:hint="eastAsia" w:cs="宋体"/>
                <w:color w:val="auto"/>
                <w:kern w:val="0"/>
                <w:sz w:val="18"/>
                <w:szCs w:val="18"/>
              </w:rPr>
            </w:pPr>
          </w:p>
          <w:p>
            <w:pPr>
              <w:widowControl/>
              <w:jc w:val="center"/>
              <w:rPr>
                <w:rFonts w:hint="eastAsia" w:cs="宋体"/>
                <w:color w:val="auto"/>
                <w:kern w:val="0"/>
                <w:sz w:val="18"/>
                <w:szCs w:val="18"/>
              </w:rPr>
            </w:pPr>
            <w:r>
              <w:rPr>
                <w:rFonts w:hint="eastAsia" w:cs="宋体"/>
                <w:color w:val="auto"/>
                <w:kern w:val="0"/>
                <w:sz w:val="18"/>
                <w:szCs w:val="18"/>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00" w:hRule="atLeast"/>
          <w:tblHeader/>
          <w:jc w:val="center"/>
        </w:trPr>
        <w:tc>
          <w:tcPr>
            <w:tcW w:w="394" w:type="dxa"/>
            <w:vMerge w:val="continue"/>
            <w:noWrap w:val="0"/>
            <w:vAlign w:val="center"/>
          </w:tcPr>
          <w:p>
            <w:pPr>
              <w:widowControl/>
              <w:jc w:val="left"/>
              <w:rPr>
                <w:rFonts w:cs="宋体"/>
                <w:color w:val="auto"/>
                <w:kern w:val="0"/>
                <w:sz w:val="18"/>
                <w:szCs w:val="18"/>
              </w:rPr>
            </w:pPr>
          </w:p>
        </w:tc>
        <w:tc>
          <w:tcPr>
            <w:tcW w:w="1206" w:type="dxa"/>
            <w:vMerge w:val="continue"/>
            <w:noWrap w:val="0"/>
            <w:vAlign w:val="center"/>
          </w:tcPr>
          <w:p>
            <w:pPr>
              <w:widowControl/>
              <w:jc w:val="left"/>
              <w:rPr>
                <w:rFonts w:cs="宋体"/>
                <w:color w:val="auto"/>
                <w:kern w:val="0"/>
                <w:sz w:val="18"/>
                <w:szCs w:val="18"/>
              </w:rPr>
            </w:pPr>
          </w:p>
        </w:tc>
        <w:tc>
          <w:tcPr>
            <w:tcW w:w="567" w:type="dxa"/>
            <w:vMerge w:val="continue"/>
            <w:noWrap w:val="0"/>
            <w:vAlign w:val="center"/>
          </w:tcPr>
          <w:p>
            <w:pPr>
              <w:widowControl/>
              <w:jc w:val="left"/>
              <w:rPr>
                <w:rFonts w:cs="宋体"/>
                <w:color w:val="auto"/>
                <w:kern w:val="0"/>
                <w:sz w:val="18"/>
                <w:szCs w:val="18"/>
              </w:rPr>
            </w:pPr>
          </w:p>
        </w:tc>
        <w:tc>
          <w:tcPr>
            <w:tcW w:w="992" w:type="dxa"/>
            <w:vMerge w:val="continue"/>
            <w:noWrap w:val="0"/>
            <w:vAlign w:val="center"/>
          </w:tcPr>
          <w:p>
            <w:pPr>
              <w:widowControl/>
              <w:jc w:val="left"/>
              <w:rPr>
                <w:rFonts w:cs="宋体"/>
                <w:color w:val="auto"/>
                <w:kern w:val="0"/>
                <w:sz w:val="18"/>
                <w:szCs w:val="18"/>
              </w:rPr>
            </w:pPr>
          </w:p>
        </w:tc>
        <w:tc>
          <w:tcPr>
            <w:tcW w:w="850" w:type="dxa"/>
            <w:vMerge w:val="continue"/>
            <w:noWrap w:val="0"/>
            <w:vAlign w:val="center"/>
          </w:tcPr>
          <w:p>
            <w:pPr>
              <w:widowControl/>
              <w:jc w:val="left"/>
              <w:rPr>
                <w:rFonts w:cs="宋体"/>
                <w:color w:val="auto"/>
                <w:kern w:val="0"/>
                <w:sz w:val="18"/>
                <w:szCs w:val="18"/>
              </w:rPr>
            </w:pPr>
          </w:p>
        </w:tc>
        <w:tc>
          <w:tcPr>
            <w:tcW w:w="993" w:type="dxa"/>
            <w:vMerge w:val="restart"/>
            <w:noWrap w:val="0"/>
            <w:vAlign w:val="center"/>
          </w:tcPr>
          <w:p>
            <w:pPr>
              <w:widowControl/>
              <w:jc w:val="center"/>
              <w:rPr>
                <w:rFonts w:cs="宋体"/>
                <w:color w:val="auto"/>
                <w:kern w:val="0"/>
                <w:sz w:val="18"/>
                <w:szCs w:val="18"/>
              </w:rPr>
            </w:pPr>
            <w:r>
              <w:rPr>
                <w:rFonts w:hint="eastAsia" w:cs="宋体"/>
                <w:color w:val="auto"/>
                <w:kern w:val="0"/>
                <w:sz w:val="18"/>
                <w:szCs w:val="18"/>
              </w:rPr>
              <w:t>上部结构</w:t>
            </w:r>
          </w:p>
        </w:tc>
        <w:tc>
          <w:tcPr>
            <w:tcW w:w="1346" w:type="dxa"/>
            <w:noWrap w:val="0"/>
            <w:vAlign w:val="center"/>
          </w:tcPr>
          <w:p>
            <w:pPr>
              <w:widowControl/>
              <w:jc w:val="center"/>
              <w:rPr>
                <w:rFonts w:cs="宋体"/>
                <w:color w:val="auto"/>
                <w:kern w:val="0"/>
                <w:sz w:val="18"/>
                <w:szCs w:val="18"/>
              </w:rPr>
            </w:pPr>
            <w:r>
              <w:rPr>
                <w:rFonts w:hint="eastAsia" w:cs="宋体"/>
                <w:color w:val="auto"/>
                <w:kern w:val="0"/>
                <w:sz w:val="18"/>
                <w:szCs w:val="18"/>
              </w:rPr>
              <w:t>下部结构</w:t>
            </w:r>
          </w:p>
        </w:tc>
        <w:tc>
          <w:tcPr>
            <w:tcW w:w="992" w:type="dxa"/>
            <w:vMerge w:val="restart"/>
            <w:noWrap w:val="0"/>
            <w:vAlign w:val="center"/>
          </w:tcPr>
          <w:p>
            <w:pPr>
              <w:widowControl/>
              <w:jc w:val="center"/>
              <w:rPr>
                <w:rFonts w:cs="宋体"/>
                <w:color w:val="auto"/>
                <w:kern w:val="0"/>
                <w:sz w:val="18"/>
                <w:szCs w:val="18"/>
              </w:rPr>
            </w:pPr>
            <w:r>
              <w:rPr>
                <w:rFonts w:hint="eastAsia" w:cs="宋体"/>
                <w:color w:val="auto"/>
                <w:kern w:val="0"/>
                <w:sz w:val="18"/>
                <w:szCs w:val="18"/>
              </w:rPr>
              <w:t>基础</w:t>
            </w:r>
          </w:p>
        </w:tc>
        <w:tc>
          <w:tcPr>
            <w:tcW w:w="1064" w:type="dxa"/>
            <w:vMerge w:val="continue"/>
            <w:noWrap w:val="0"/>
            <w:vAlign w:val="top"/>
          </w:tcPr>
          <w:p>
            <w:pPr>
              <w:widowControl/>
              <w:jc w:val="center"/>
              <w:rPr>
                <w:rFonts w:hint="eastAsia"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00" w:hRule="atLeast"/>
          <w:tblHeader/>
          <w:jc w:val="center"/>
        </w:trPr>
        <w:tc>
          <w:tcPr>
            <w:tcW w:w="394" w:type="dxa"/>
            <w:vMerge w:val="continue"/>
            <w:noWrap w:val="0"/>
            <w:vAlign w:val="center"/>
          </w:tcPr>
          <w:p>
            <w:pPr>
              <w:widowControl/>
              <w:jc w:val="left"/>
              <w:rPr>
                <w:rFonts w:cs="宋体"/>
                <w:color w:val="auto"/>
                <w:kern w:val="0"/>
                <w:sz w:val="18"/>
                <w:szCs w:val="18"/>
              </w:rPr>
            </w:pPr>
          </w:p>
        </w:tc>
        <w:tc>
          <w:tcPr>
            <w:tcW w:w="1206" w:type="dxa"/>
            <w:vMerge w:val="continue"/>
            <w:noWrap w:val="0"/>
            <w:vAlign w:val="center"/>
          </w:tcPr>
          <w:p>
            <w:pPr>
              <w:widowControl/>
              <w:jc w:val="left"/>
              <w:rPr>
                <w:rFonts w:cs="宋体"/>
                <w:color w:val="auto"/>
                <w:kern w:val="0"/>
                <w:sz w:val="18"/>
                <w:szCs w:val="18"/>
              </w:rPr>
            </w:pPr>
          </w:p>
        </w:tc>
        <w:tc>
          <w:tcPr>
            <w:tcW w:w="567" w:type="dxa"/>
            <w:vMerge w:val="continue"/>
            <w:noWrap w:val="0"/>
            <w:vAlign w:val="center"/>
          </w:tcPr>
          <w:p>
            <w:pPr>
              <w:widowControl/>
              <w:jc w:val="left"/>
              <w:rPr>
                <w:rFonts w:cs="宋体"/>
                <w:color w:val="auto"/>
                <w:kern w:val="0"/>
                <w:sz w:val="18"/>
                <w:szCs w:val="18"/>
              </w:rPr>
            </w:pPr>
          </w:p>
        </w:tc>
        <w:tc>
          <w:tcPr>
            <w:tcW w:w="992" w:type="dxa"/>
            <w:vMerge w:val="continue"/>
            <w:noWrap w:val="0"/>
            <w:vAlign w:val="center"/>
          </w:tcPr>
          <w:p>
            <w:pPr>
              <w:widowControl/>
              <w:jc w:val="left"/>
              <w:rPr>
                <w:rFonts w:cs="宋体"/>
                <w:color w:val="auto"/>
                <w:kern w:val="0"/>
                <w:sz w:val="18"/>
                <w:szCs w:val="18"/>
              </w:rPr>
            </w:pPr>
          </w:p>
        </w:tc>
        <w:tc>
          <w:tcPr>
            <w:tcW w:w="850" w:type="dxa"/>
            <w:vMerge w:val="continue"/>
            <w:noWrap w:val="0"/>
            <w:vAlign w:val="center"/>
          </w:tcPr>
          <w:p>
            <w:pPr>
              <w:widowControl/>
              <w:jc w:val="left"/>
              <w:rPr>
                <w:rFonts w:cs="宋体"/>
                <w:color w:val="auto"/>
                <w:kern w:val="0"/>
                <w:sz w:val="18"/>
                <w:szCs w:val="18"/>
              </w:rPr>
            </w:pPr>
          </w:p>
        </w:tc>
        <w:tc>
          <w:tcPr>
            <w:tcW w:w="993" w:type="dxa"/>
            <w:vMerge w:val="continue"/>
            <w:noWrap w:val="0"/>
            <w:vAlign w:val="center"/>
          </w:tcPr>
          <w:p>
            <w:pPr>
              <w:widowControl/>
              <w:jc w:val="left"/>
              <w:rPr>
                <w:rFonts w:cs="宋体"/>
                <w:color w:val="auto"/>
                <w:kern w:val="0"/>
                <w:sz w:val="18"/>
                <w:szCs w:val="18"/>
              </w:rPr>
            </w:pPr>
          </w:p>
        </w:tc>
        <w:tc>
          <w:tcPr>
            <w:tcW w:w="1346" w:type="dxa"/>
            <w:noWrap w:val="0"/>
            <w:vAlign w:val="center"/>
          </w:tcPr>
          <w:p>
            <w:pPr>
              <w:widowControl/>
              <w:jc w:val="center"/>
              <w:rPr>
                <w:rFonts w:cs="宋体"/>
                <w:color w:val="auto"/>
                <w:kern w:val="0"/>
                <w:sz w:val="18"/>
                <w:szCs w:val="18"/>
              </w:rPr>
            </w:pPr>
            <w:r>
              <w:rPr>
                <w:rFonts w:hint="eastAsia" w:cs="宋体"/>
                <w:color w:val="auto"/>
                <w:kern w:val="0"/>
                <w:sz w:val="18"/>
                <w:szCs w:val="18"/>
              </w:rPr>
              <w:t>桥台</w:t>
            </w:r>
          </w:p>
        </w:tc>
        <w:tc>
          <w:tcPr>
            <w:tcW w:w="992" w:type="dxa"/>
            <w:vMerge w:val="continue"/>
            <w:noWrap w:val="0"/>
            <w:vAlign w:val="center"/>
          </w:tcPr>
          <w:p>
            <w:pPr>
              <w:widowControl/>
              <w:jc w:val="left"/>
              <w:rPr>
                <w:rFonts w:cs="宋体"/>
                <w:color w:val="auto"/>
                <w:kern w:val="0"/>
                <w:sz w:val="18"/>
                <w:szCs w:val="18"/>
              </w:rPr>
            </w:pPr>
          </w:p>
        </w:tc>
        <w:tc>
          <w:tcPr>
            <w:tcW w:w="1064" w:type="dxa"/>
            <w:vMerge w:val="continue"/>
            <w:noWrap w:val="0"/>
            <w:vAlign w:val="top"/>
          </w:tcPr>
          <w:p>
            <w:pPr>
              <w:widowControl/>
              <w:jc w:val="left"/>
              <w:rPr>
                <w:rFonts w:cs="宋体"/>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394" w:type="dxa"/>
            <w:noWrap w:val="0"/>
            <w:vAlign w:val="center"/>
          </w:tcPr>
          <w:p>
            <w:pPr>
              <w:widowControl/>
              <w:jc w:val="center"/>
              <w:rPr>
                <w:rFonts w:cs="宋体"/>
                <w:color w:val="auto"/>
                <w:kern w:val="0"/>
                <w:sz w:val="18"/>
                <w:szCs w:val="18"/>
              </w:rPr>
            </w:pPr>
            <w:r>
              <w:rPr>
                <w:rFonts w:hint="eastAsia" w:cs="宋体"/>
                <w:color w:val="auto"/>
                <w:kern w:val="0"/>
                <w:sz w:val="18"/>
                <w:szCs w:val="18"/>
              </w:rPr>
              <w:t>1</w:t>
            </w:r>
          </w:p>
        </w:tc>
        <w:tc>
          <w:tcPr>
            <w:tcW w:w="1206" w:type="dxa"/>
            <w:noWrap w:val="0"/>
            <w:vAlign w:val="center"/>
          </w:tcPr>
          <w:p>
            <w:pPr>
              <w:widowControl/>
              <w:jc w:val="center"/>
              <w:rPr>
                <w:rFonts w:cs="宋体"/>
                <w:color w:val="auto"/>
                <w:kern w:val="0"/>
                <w:sz w:val="18"/>
                <w:szCs w:val="18"/>
              </w:rPr>
            </w:pPr>
            <w:r>
              <w:rPr>
                <w:rFonts w:hint="eastAsia" w:cs="宋体"/>
                <w:color w:val="auto"/>
                <w:kern w:val="0"/>
                <w:sz w:val="18"/>
                <w:szCs w:val="18"/>
              </w:rPr>
              <w:t>南岗桥</w:t>
            </w:r>
          </w:p>
        </w:tc>
        <w:tc>
          <w:tcPr>
            <w:tcW w:w="567" w:type="dxa"/>
            <w:noWrap w:val="0"/>
            <w:vAlign w:val="center"/>
          </w:tcPr>
          <w:p>
            <w:pPr>
              <w:widowControl/>
              <w:jc w:val="center"/>
              <w:rPr>
                <w:rFonts w:cs="宋体"/>
                <w:color w:val="auto"/>
                <w:kern w:val="0"/>
                <w:sz w:val="18"/>
                <w:szCs w:val="18"/>
              </w:rPr>
            </w:pPr>
            <w:r>
              <w:rPr>
                <w:rFonts w:cs="宋体"/>
                <w:color w:val="auto"/>
                <w:kern w:val="0"/>
                <w:sz w:val="18"/>
                <w:szCs w:val="18"/>
              </w:rPr>
              <w:t>120</w:t>
            </w:r>
          </w:p>
        </w:tc>
        <w:tc>
          <w:tcPr>
            <w:tcW w:w="992" w:type="dxa"/>
            <w:noWrap w:val="0"/>
            <w:vAlign w:val="center"/>
          </w:tcPr>
          <w:p>
            <w:pPr>
              <w:widowControl/>
              <w:jc w:val="center"/>
              <w:rPr>
                <w:rFonts w:cs="宋体"/>
                <w:color w:val="auto"/>
                <w:kern w:val="0"/>
                <w:sz w:val="18"/>
                <w:szCs w:val="18"/>
              </w:rPr>
            </w:pPr>
            <w:r>
              <w:rPr>
                <w:rFonts w:cs="宋体"/>
                <w:color w:val="auto"/>
                <w:kern w:val="0"/>
                <w:sz w:val="18"/>
                <w:szCs w:val="18"/>
              </w:rPr>
              <w:t>1</w:t>
            </w:r>
            <w:r>
              <w:rPr>
                <w:rFonts w:hint="eastAsia" w:cs="宋体"/>
                <w:color w:val="auto"/>
                <w:kern w:val="0"/>
                <w:sz w:val="18"/>
                <w:szCs w:val="18"/>
              </w:rPr>
              <w:t>x</w:t>
            </w:r>
            <w:r>
              <w:rPr>
                <w:rFonts w:cs="宋体"/>
                <w:color w:val="auto"/>
                <w:kern w:val="0"/>
                <w:sz w:val="18"/>
                <w:szCs w:val="18"/>
              </w:rPr>
              <w:t>16</w:t>
            </w:r>
          </w:p>
        </w:tc>
        <w:tc>
          <w:tcPr>
            <w:tcW w:w="850" w:type="dxa"/>
            <w:noWrap w:val="0"/>
            <w:vAlign w:val="center"/>
          </w:tcPr>
          <w:p>
            <w:pPr>
              <w:widowControl/>
              <w:jc w:val="center"/>
              <w:rPr>
                <w:rFonts w:cs="宋体"/>
                <w:color w:val="auto"/>
                <w:kern w:val="0"/>
                <w:sz w:val="18"/>
                <w:szCs w:val="18"/>
              </w:rPr>
            </w:pPr>
            <w:r>
              <w:rPr>
                <w:rFonts w:cs="宋体"/>
                <w:color w:val="auto"/>
                <w:kern w:val="0"/>
                <w:sz w:val="18"/>
                <w:szCs w:val="18"/>
              </w:rPr>
              <w:t>22.08</w:t>
            </w:r>
          </w:p>
        </w:tc>
        <w:tc>
          <w:tcPr>
            <w:tcW w:w="993" w:type="dxa"/>
            <w:noWrap w:val="0"/>
            <w:vAlign w:val="center"/>
          </w:tcPr>
          <w:p>
            <w:pPr>
              <w:widowControl/>
              <w:jc w:val="center"/>
              <w:rPr>
                <w:rFonts w:cs="宋体"/>
                <w:color w:val="auto"/>
                <w:kern w:val="0"/>
                <w:sz w:val="18"/>
                <w:szCs w:val="18"/>
              </w:rPr>
            </w:pPr>
            <w:r>
              <w:rPr>
                <w:rFonts w:hint="eastAsia" w:cs="宋体"/>
                <w:color w:val="auto"/>
                <w:kern w:val="0"/>
                <w:sz w:val="18"/>
                <w:szCs w:val="18"/>
              </w:rPr>
              <w:t>PC空心板</w:t>
            </w:r>
          </w:p>
        </w:tc>
        <w:tc>
          <w:tcPr>
            <w:tcW w:w="1346" w:type="dxa"/>
            <w:noWrap w:val="0"/>
            <w:vAlign w:val="center"/>
          </w:tcPr>
          <w:p>
            <w:pPr>
              <w:widowControl/>
              <w:jc w:val="center"/>
              <w:rPr>
                <w:rFonts w:cs="宋体"/>
                <w:color w:val="auto"/>
                <w:kern w:val="0"/>
                <w:sz w:val="18"/>
                <w:szCs w:val="18"/>
              </w:rPr>
            </w:pPr>
            <w:r>
              <w:rPr>
                <w:rFonts w:hint="eastAsia" w:cs="宋体"/>
                <w:color w:val="auto"/>
                <w:kern w:val="0"/>
                <w:sz w:val="18"/>
                <w:szCs w:val="18"/>
              </w:rPr>
              <w:t>桩柱式</w:t>
            </w:r>
          </w:p>
        </w:tc>
        <w:tc>
          <w:tcPr>
            <w:tcW w:w="992" w:type="dxa"/>
            <w:noWrap w:val="0"/>
            <w:vAlign w:val="center"/>
          </w:tcPr>
          <w:p>
            <w:pPr>
              <w:widowControl/>
              <w:jc w:val="center"/>
              <w:rPr>
                <w:rFonts w:cs="宋体"/>
                <w:color w:val="auto"/>
                <w:kern w:val="0"/>
                <w:sz w:val="18"/>
                <w:szCs w:val="18"/>
              </w:rPr>
            </w:pPr>
            <w:r>
              <w:rPr>
                <w:rFonts w:hint="eastAsia" w:cs="宋体"/>
                <w:color w:val="auto"/>
                <w:kern w:val="0"/>
                <w:sz w:val="18"/>
                <w:szCs w:val="18"/>
              </w:rPr>
              <w:t>灌注桩</w:t>
            </w:r>
          </w:p>
        </w:tc>
        <w:tc>
          <w:tcPr>
            <w:tcW w:w="1064" w:type="dxa"/>
            <w:noWrap w:val="0"/>
            <w:vAlign w:val="top"/>
          </w:tcPr>
          <w:p>
            <w:pPr>
              <w:widowControl/>
              <w:jc w:val="center"/>
              <w:rPr>
                <w:rFonts w:hint="eastAsia" w:cs="宋体"/>
                <w:color w:val="auto"/>
                <w:kern w:val="0"/>
                <w:sz w:val="18"/>
                <w:szCs w:val="18"/>
              </w:rPr>
            </w:pPr>
          </w:p>
          <w:p>
            <w:pPr>
              <w:widowControl/>
              <w:jc w:val="center"/>
              <w:rPr>
                <w:rFonts w:hint="eastAsia" w:cs="宋体"/>
                <w:color w:val="auto"/>
                <w:kern w:val="0"/>
                <w:sz w:val="18"/>
                <w:szCs w:val="18"/>
              </w:rPr>
            </w:pPr>
            <w:r>
              <w:rPr>
                <w:rFonts w:hint="eastAsia" w:cs="宋体"/>
                <w:color w:val="auto"/>
                <w:kern w:val="0"/>
                <w:sz w:val="18"/>
                <w:szCs w:val="18"/>
              </w:rPr>
              <w:t>拆除新建</w:t>
            </w: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b/>
          <w:bCs/>
          <w:color w:val="auto"/>
          <w:sz w:val="24"/>
          <w:szCs w:val="24"/>
        </w:rPr>
      </w:pPr>
      <w:r>
        <w:rPr>
          <w:b/>
          <w:bCs/>
          <w:color w:val="auto"/>
          <w:sz w:val="24"/>
          <w:szCs w:val="24"/>
        </w:rPr>
        <w:t>二、编制范围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施工图纸及工程量清单范围内的全部工作内容。</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b/>
          <w:bCs/>
          <w:color w:val="auto"/>
          <w:sz w:val="24"/>
          <w:szCs w:val="24"/>
        </w:rPr>
      </w:pPr>
      <w:r>
        <w:rPr>
          <w:b/>
          <w:bCs/>
          <w:color w:val="auto"/>
          <w:sz w:val="24"/>
          <w:szCs w:val="24"/>
        </w:rPr>
        <w:t>三、编制依据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1、江苏省科佳工程设计有限公司</w:t>
      </w:r>
      <w:r>
        <w:rPr>
          <w:rFonts w:hint="eastAsia"/>
          <w:color w:val="auto"/>
          <w:sz w:val="24"/>
          <w:szCs w:val="24"/>
          <w:lang w:val="en-US" w:eastAsia="zh-CN"/>
        </w:rPr>
        <w:t>的</w:t>
      </w:r>
      <w:r>
        <w:rPr>
          <w:color w:val="auto"/>
          <w:sz w:val="24"/>
          <w:szCs w:val="24"/>
        </w:rPr>
        <w:t>设计图纸、招标文件、委托方的编制要求等。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2、《建设工程工程量清单计价规范》 (GB50500-2013)、《江苏省市政工程计价定额》（2014 版）、</w:t>
      </w:r>
      <w:r>
        <w:rPr>
          <w:rFonts w:hint="eastAsia"/>
          <w:color w:val="auto"/>
          <w:sz w:val="24"/>
          <w:szCs w:val="24"/>
        </w:rPr>
        <w:t>《江苏省建筑与装饰工程计价表》</w:t>
      </w:r>
      <w:r>
        <w:rPr>
          <w:color w:val="auto"/>
          <w:sz w:val="24"/>
          <w:szCs w:val="24"/>
        </w:rPr>
        <w:t>（2014 版）</w:t>
      </w:r>
      <w:r>
        <w:rPr>
          <w:rFonts w:hint="eastAsia"/>
          <w:color w:val="auto"/>
          <w:sz w:val="24"/>
          <w:szCs w:val="24"/>
          <w:lang w:eastAsia="zh-CN"/>
        </w:rPr>
        <w:t>、</w:t>
      </w:r>
      <w:r>
        <w:rPr>
          <w:color w:val="auto"/>
          <w:sz w:val="24"/>
          <w:szCs w:val="24"/>
        </w:rPr>
        <w:t>《江苏省仿古建筑与园林工程计价表》(2007 版）、《江苏省建设工程费用定额》(2014 版)营改增后调整内容，常建（2014）</w:t>
      </w:r>
      <w:r>
        <w:rPr>
          <w:rFonts w:hint="eastAsia"/>
          <w:color w:val="auto"/>
          <w:sz w:val="24"/>
          <w:szCs w:val="24"/>
          <w:lang w:val="en-US" w:eastAsia="zh-CN"/>
        </w:rPr>
        <w:t xml:space="preserve"> </w:t>
      </w:r>
      <w:r>
        <w:rPr>
          <w:color w:val="auto"/>
          <w:sz w:val="24"/>
          <w:szCs w:val="24"/>
        </w:rPr>
        <w:t>279</w:t>
      </w:r>
      <w:r>
        <w:rPr>
          <w:rFonts w:hint="eastAsia"/>
          <w:color w:val="auto"/>
          <w:sz w:val="24"/>
          <w:szCs w:val="24"/>
          <w:lang w:val="en-US" w:eastAsia="zh-CN"/>
        </w:rPr>
        <w:t xml:space="preserve"> </w:t>
      </w:r>
      <w:r>
        <w:rPr>
          <w:color w:val="auto"/>
          <w:sz w:val="24"/>
          <w:szCs w:val="24"/>
        </w:rPr>
        <w:t>号文、苏建价[2016]</w:t>
      </w:r>
      <w:r>
        <w:rPr>
          <w:rFonts w:hint="eastAsia"/>
          <w:color w:val="auto"/>
          <w:sz w:val="24"/>
          <w:szCs w:val="24"/>
          <w:lang w:val="en-US" w:eastAsia="zh-CN"/>
        </w:rPr>
        <w:t xml:space="preserve"> </w:t>
      </w:r>
      <w:r>
        <w:rPr>
          <w:color w:val="auto"/>
          <w:sz w:val="24"/>
          <w:szCs w:val="24"/>
        </w:rPr>
        <w:t>154</w:t>
      </w:r>
      <w:r>
        <w:rPr>
          <w:rFonts w:hint="eastAsia"/>
          <w:color w:val="auto"/>
          <w:sz w:val="24"/>
          <w:szCs w:val="24"/>
          <w:lang w:val="en-US" w:eastAsia="zh-CN"/>
        </w:rPr>
        <w:t xml:space="preserve"> </w:t>
      </w:r>
      <w:r>
        <w:rPr>
          <w:color w:val="auto"/>
          <w:sz w:val="24"/>
          <w:szCs w:val="24"/>
        </w:rPr>
        <w:t>号文、常建[2016]</w:t>
      </w:r>
      <w:r>
        <w:rPr>
          <w:rFonts w:hint="eastAsia"/>
          <w:color w:val="auto"/>
          <w:sz w:val="24"/>
          <w:szCs w:val="24"/>
          <w:lang w:val="en-US" w:eastAsia="zh-CN"/>
        </w:rPr>
        <w:t xml:space="preserve"> </w:t>
      </w:r>
      <w:r>
        <w:rPr>
          <w:color w:val="auto"/>
          <w:sz w:val="24"/>
          <w:szCs w:val="24"/>
        </w:rPr>
        <w:t>94</w:t>
      </w:r>
      <w:r>
        <w:rPr>
          <w:rFonts w:hint="eastAsia"/>
          <w:color w:val="auto"/>
          <w:sz w:val="24"/>
          <w:szCs w:val="24"/>
          <w:lang w:val="en-US" w:eastAsia="zh-CN"/>
        </w:rPr>
        <w:t xml:space="preserve"> </w:t>
      </w:r>
      <w:r>
        <w:rPr>
          <w:color w:val="auto"/>
          <w:sz w:val="24"/>
          <w:szCs w:val="24"/>
        </w:rPr>
        <w:t>号文、常建[2019]</w:t>
      </w:r>
      <w:r>
        <w:rPr>
          <w:rFonts w:hint="eastAsia"/>
          <w:color w:val="auto"/>
          <w:sz w:val="24"/>
          <w:szCs w:val="24"/>
          <w:lang w:val="en-US" w:eastAsia="zh-CN"/>
        </w:rPr>
        <w:t xml:space="preserve"> </w:t>
      </w:r>
      <w:r>
        <w:rPr>
          <w:color w:val="auto"/>
          <w:sz w:val="24"/>
          <w:szCs w:val="24"/>
        </w:rPr>
        <w:t>1</w:t>
      </w:r>
      <w:r>
        <w:rPr>
          <w:rFonts w:hint="eastAsia"/>
          <w:color w:val="auto"/>
          <w:sz w:val="24"/>
          <w:szCs w:val="24"/>
          <w:lang w:val="en-US" w:eastAsia="zh-CN"/>
        </w:rPr>
        <w:t xml:space="preserve"> </w:t>
      </w:r>
      <w:r>
        <w:rPr>
          <w:color w:val="auto"/>
          <w:sz w:val="24"/>
          <w:szCs w:val="24"/>
        </w:rPr>
        <w:t>号文、苏建函价[2019]</w:t>
      </w:r>
      <w:r>
        <w:rPr>
          <w:rFonts w:hint="eastAsia"/>
          <w:color w:val="auto"/>
          <w:sz w:val="24"/>
          <w:szCs w:val="24"/>
          <w:lang w:val="en-US" w:eastAsia="zh-CN"/>
        </w:rPr>
        <w:t xml:space="preserve"> </w:t>
      </w:r>
      <w:r>
        <w:rPr>
          <w:color w:val="auto"/>
          <w:sz w:val="24"/>
          <w:szCs w:val="24"/>
        </w:rPr>
        <w:t>178</w:t>
      </w:r>
      <w:r>
        <w:rPr>
          <w:rFonts w:hint="eastAsia"/>
          <w:color w:val="auto"/>
          <w:sz w:val="24"/>
          <w:szCs w:val="24"/>
          <w:lang w:val="en-US" w:eastAsia="zh-CN"/>
        </w:rPr>
        <w:t xml:space="preserve"> </w:t>
      </w:r>
      <w:r>
        <w:rPr>
          <w:color w:val="auto"/>
          <w:sz w:val="24"/>
          <w:szCs w:val="24"/>
        </w:rPr>
        <w:t>号、</w:t>
      </w:r>
      <w:r>
        <w:rPr>
          <w:rFonts w:hint="eastAsia"/>
          <w:color w:val="auto"/>
          <w:sz w:val="24"/>
          <w:szCs w:val="24"/>
        </w:rPr>
        <w:t>苏住建</w:t>
      </w:r>
      <w:r>
        <w:rPr>
          <w:color w:val="auto"/>
          <w:sz w:val="24"/>
          <w:szCs w:val="24"/>
        </w:rPr>
        <w:t>[2019]第</w:t>
      </w:r>
      <w:r>
        <w:rPr>
          <w:rFonts w:hint="eastAsia"/>
          <w:color w:val="auto"/>
          <w:sz w:val="24"/>
          <w:szCs w:val="24"/>
          <w:lang w:val="en-US" w:eastAsia="zh-CN"/>
        </w:rPr>
        <w:t xml:space="preserve"> </w:t>
      </w:r>
      <w:r>
        <w:rPr>
          <w:color w:val="auto"/>
          <w:sz w:val="24"/>
          <w:szCs w:val="24"/>
        </w:rPr>
        <w:t>19</w:t>
      </w:r>
      <w:r>
        <w:rPr>
          <w:rFonts w:hint="eastAsia"/>
          <w:color w:val="auto"/>
          <w:sz w:val="24"/>
          <w:szCs w:val="24"/>
          <w:lang w:val="en-US" w:eastAsia="zh-CN"/>
        </w:rPr>
        <w:t xml:space="preserve"> </w:t>
      </w:r>
      <w:r>
        <w:rPr>
          <w:color w:val="auto"/>
          <w:sz w:val="24"/>
          <w:szCs w:val="24"/>
        </w:rPr>
        <w:t>号公告</w:t>
      </w:r>
      <w:r>
        <w:rPr>
          <w:color w:val="auto"/>
          <w:sz w:val="24"/>
          <w:szCs w:val="24"/>
        </w:rPr>
        <w:t>等</w:t>
      </w:r>
      <w:r>
        <w:rPr>
          <w:color w:val="auto"/>
          <w:sz w:val="24"/>
          <w:szCs w:val="24"/>
        </w:rPr>
        <w:t>相关法律法规文件。凡本清单内容中明确的，按清单的要求编制投标报价；本清单未作说明的，按上述规范、文件和要求编制投标报价。</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3、人工工资单价执行苏建函价</w:t>
      </w:r>
      <w:r>
        <w:rPr>
          <w:rFonts w:hint="eastAsia"/>
          <w:color w:val="auto"/>
          <w:sz w:val="24"/>
          <w:szCs w:val="24"/>
        </w:rPr>
        <w:t>[202</w:t>
      </w:r>
      <w:r>
        <w:rPr>
          <w:rFonts w:hint="eastAsia"/>
          <w:color w:val="auto"/>
          <w:sz w:val="24"/>
          <w:szCs w:val="24"/>
          <w:lang w:val="en-US" w:eastAsia="zh-CN"/>
        </w:rPr>
        <w:t>3</w:t>
      </w:r>
      <w:r>
        <w:rPr>
          <w:rFonts w:hint="eastAsia"/>
          <w:color w:val="auto"/>
          <w:sz w:val="24"/>
          <w:szCs w:val="24"/>
        </w:rPr>
        <w:t>]</w:t>
      </w:r>
      <w:r>
        <w:rPr>
          <w:rFonts w:hint="eastAsia"/>
          <w:color w:val="auto"/>
          <w:sz w:val="24"/>
          <w:szCs w:val="24"/>
          <w:lang w:val="en-US" w:eastAsia="zh-CN"/>
        </w:rPr>
        <w:t xml:space="preserve">63 </w:t>
      </w:r>
      <w:r>
        <w:rPr>
          <w:color w:val="auto"/>
          <w:sz w:val="24"/>
          <w:szCs w:val="24"/>
        </w:rPr>
        <w:t>号文《省住房和城乡建设厅关于发布建设工程人工工资指导价的通知》。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4、材料价格</w:t>
      </w:r>
      <w:r>
        <w:rPr>
          <w:rFonts w:hint="eastAsia"/>
          <w:color w:val="auto"/>
          <w:sz w:val="24"/>
          <w:szCs w:val="24"/>
          <w:lang w:val="en-US" w:eastAsia="zh-CN"/>
        </w:rPr>
        <w:t>参考</w:t>
      </w:r>
      <w:r>
        <w:rPr>
          <w:color w:val="auto"/>
          <w:sz w:val="24"/>
          <w:szCs w:val="24"/>
        </w:rPr>
        <w:t xml:space="preserve"> 202</w:t>
      </w:r>
      <w:r>
        <w:rPr>
          <w:rFonts w:hint="eastAsia"/>
          <w:color w:val="auto"/>
          <w:sz w:val="24"/>
          <w:szCs w:val="24"/>
          <w:lang w:val="en-US" w:eastAsia="zh-CN"/>
        </w:rPr>
        <w:t>3</w:t>
      </w:r>
      <w:r>
        <w:rPr>
          <w:color w:val="auto"/>
          <w:sz w:val="24"/>
          <w:szCs w:val="24"/>
        </w:rPr>
        <w:t xml:space="preserve"> 年 </w:t>
      </w:r>
      <w:r>
        <w:rPr>
          <w:rFonts w:hint="eastAsia"/>
          <w:color w:val="auto"/>
          <w:sz w:val="24"/>
          <w:szCs w:val="24"/>
          <w:lang w:val="en-US" w:eastAsia="zh-CN"/>
        </w:rPr>
        <w:t>8</w:t>
      </w:r>
      <w:r>
        <w:rPr>
          <w:color w:val="auto"/>
          <w:sz w:val="24"/>
          <w:szCs w:val="24"/>
        </w:rPr>
        <w:t xml:space="preserve"> 月《常州工程造价信息》中的材料除税指导价，</w:t>
      </w:r>
      <w:r>
        <w:rPr>
          <w:rFonts w:hint="eastAsia"/>
          <w:color w:val="auto"/>
          <w:sz w:val="24"/>
          <w:szCs w:val="24"/>
          <w:lang w:val="en-US" w:eastAsia="zh-CN"/>
        </w:rPr>
        <w:t>8</w:t>
      </w:r>
      <w:r>
        <w:rPr>
          <w:color w:val="auto"/>
          <w:sz w:val="24"/>
          <w:szCs w:val="24"/>
        </w:rPr>
        <w:t xml:space="preserve"> 月份没有的逐月前推，信息价没有的按市场询价（除税价）计入。</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b/>
          <w:bCs/>
          <w:color w:val="auto"/>
          <w:sz w:val="24"/>
          <w:szCs w:val="24"/>
        </w:rPr>
      </w:pPr>
      <w:r>
        <w:rPr>
          <w:b/>
          <w:bCs/>
          <w:color w:val="auto"/>
          <w:sz w:val="24"/>
          <w:szCs w:val="24"/>
        </w:rPr>
        <w:t>四、编制说明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1、</w:t>
      </w:r>
      <w:r>
        <w:rPr>
          <w:rFonts w:hint="eastAsia"/>
          <w:color w:val="auto"/>
          <w:sz w:val="24"/>
          <w:szCs w:val="24"/>
          <w:lang w:val="en-US" w:eastAsia="zh-CN"/>
        </w:rPr>
        <w:t>投标人在编制报价文件时发现本清单说明部分内容若与招标文件有矛盾时，投标人应要求书面澄清，若答疑阶段已过时发现，则以招标文件为准。清单项目特征只对工程项目的主要内容和工序做简要描述，不能详尽描述招标施工图中的每项说明与内容，如投标人未提供书面答疑，视为完成招标施工图中所有工作所需的费用均已包含在投标报价中</w:t>
      </w:r>
      <w:r>
        <w:rPr>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2、</w:t>
      </w:r>
      <w:r>
        <w:rPr>
          <w:rFonts w:hint="eastAsia"/>
          <w:color w:val="auto"/>
          <w:sz w:val="24"/>
          <w:szCs w:val="24"/>
          <w:lang w:val="en-US" w:eastAsia="zh-CN"/>
        </w:rPr>
        <w:t>《建设工程工程量清单计价规范》（2013）中列举了各清单项目编码应有的工作内容，如无特殊说明，该工作内容即为工程量清单的工作内容，所有的工作内容所需费用均应包括在投标报价的综合单价内</w:t>
      </w:r>
      <w:r>
        <w:rPr>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3、本</w:t>
      </w:r>
      <w:r>
        <w:rPr>
          <w:color w:val="auto"/>
          <w:sz w:val="24"/>
          <w:szCs w:val="24"/>
        </w:rPr>
        <w:t>工程路基</w:t>
      </w:r>
      <w:r>
        <w:rPr>
          <w:rFonts w:hint="eastAsia"/>
          <w:color w:val="auto"/>
          <w:sz w:val="24"/>
          <w:szCs w:val="24"/>
          <w:lang w:val="en-US" w:eastAsia="zh-CN"/>
        </w:rPr>
        <w:t>、</w:t>
      </w:r>
      <w:r>
        <w:rPr>
          <w:color w:val="auto"/>
          <w:sz w:val="24"/>
          <w:szCs w:val="24"/>
        </w:rPr>
        <w:t>沟槽</w:t>
      </w:r>
      <w:r>
        <w:rPr>
          <w:rFonts w:hint="eastAsia"/>
          <w:color w:val="auto"/>
          <w:sz w:val="24"/>
          <w:szCs w:val="24"/>
          <w:lang w:val="en-US" w:eastAsia="zh-CN"/>
        </w:rPr>
        <w:t>回填</w:t>
      </w:r>
      <w:r>
        <w:rPr>
          <w:color w:val="auto"/>
          <w:sz w:val="24"/>
          <w:szCs w:val="24"/>
        </w:rPr>
        <w:t>灰土</w:t>
      </w:r>
      <w:r>
        <w:rPr>
          <w:rFonts w:hint="eastAsia"/>
          <w:color w:val="auto"/>
          <w:sz w:val="24"/>
          <w:szCs w:val="24"/>
          <w:lang w:eastAsia="zh-CN"/>
        </w:rPr>
        <w:t>、</w:t>
      </w:r>
      <w:r>
        <w:rPr>
          <w:rFonts w:hint="eastAsia"/>
          <w:color w:val="auto"/>
          <w:sz w:val="24"/>
          <w:szCs w:val="24"/>
          <w:lang w:val="en-US" w:eastAsia="zh-CN"/>
        </w:rPr>
        <w:t>碎石土所</w:t>
      </w:r>
      <w:r>
        <w:rPr>
          <w:color w:val="auto"/>
          <w:sz w:val="24"/>
          <w:szCs w:val="24"/>
        </w:rPr>
        <w:t>用</w:t>
      </w:r>
      <w:r>
        <w:rPr>
          <w:rFonts w:hint="eastAsia"/>
          <w:color w:val="auto"/>
          <w:sz w:val="24"/>
          <w:szCs w:val="24"/>
          <w:lang w:val="en-US" w:eastAsia="zh-CN"/>
        </w:rPr>
        <w:t>素土</w:t>
      </w:r>
      <w:r>
        <w:rPr>
          <w:color w:val="auto"/>
          <w:sz w:val="24"/>
          <w:szCs w:val="24"/>
        </w:rPr>
        <w:t>土源</w:t>
      </w:r>
      <w:r>
        <w:rPr>
          <w:color w:val="auto"/>
          <w:sz w:val="24"/>
          <w:szCs w:val="24"/>
        </w:rPr>
        <w:t>及运距自行考虑。</w:t>
      </w:r>
      <w:r>
        <w:rPr>
          <w:rFonts w:hint="eastAsia"/>
          <w:color w:val="auto"/>
          <w:sz w:val="24"/>
          <w:szCs w:val="24"/>
          <w:lang w:val="en-US" w:eastAsia="zh-CN"/>
        </w:rPr>
        <w:t>路基、</w:t>
      </w:r>
      <w:r>
        <w:rPr>
          <w:color w:val="auto"/>
          <w:sz w:val="24"/>
          <w:szCs w:val="24"/>
        </w:rPr>
        <w:t>沟槽灰土</w:t>
      </w:r>
      <w:r>
        <w:rPr>
          <w:rFonts w:hint="eastAsia"/>
          <w:color w:val="auto"/>
          <w:sz w:val="24"/>
          <w:szCs w:val="24"/>
          <w:lang w:eastAsia="zh-CN"/>
        </w:rPr>
        <w:t>、</w:t>
      </w:r>
      <w:r>
        <w:rPr>
          <w:rFonts w:hint="eastAsia"/>
          <w:color w:val="auto"/>
          <w:sz w:val="24"/>
          <w:szCs w:val="24"/>
          <w:lang w:val="en-US" w:eastAsia="zh-CN"/>
        </w:rPr>
        <w:t>碎石土</w:t>
      </w:r>
      <w:r>
        <w:rPr>
          <w:color w:val="auto"/>
          <w:sz w:val="24"/>
          <w:szCs w:val="24"/>
        </w:rPr>
        <w:t>拌合</w:t>
      </w:r>
      <w:r>
        <w:rPr>
          <w:rFonts w:hint="eastAsia"/>
          <w:color w:val="auto"/>
          <w:sz w:val="24"/>
          <w:szCs w:val="24"/>
          <w:lang w:val="en-US" w:eastAsia="zh-CN"/>
        </w:rPr>
        <w:t>用拌合场地、运输方式及运距自理</w:t>
      </w:r>
      <w:r>
        <w:rPr>
          <w:color w:val="auto"/>
          <w:sz w:val="24"/>
          <w:szCs w:val="24"/>
        </w:rPr>
        <w:t>。土方除不可利用的土方和材料外，所有土方、材料</w:t>
      </w:r>
      <w:r>
        <w:rPr>
          <w:color w:val="auto"/>
          <w:sz w:val="24"/>
          <w:szCs w:val="24"/>
        </w:rPr>
        <w:t>尽量考虑场内平衡利用</w:t>
      </w:r>
      <w:r>
        <w:rPr>
          <w:color w:val="auto"/>
          <w:sz w:val="24"/>
          <w:szCs w:val="24"/>
        </w:rPr>
        <w:t>。</w:t>
      </w:r>
      <w:r>
        <w:rPr>
          <w:rFonts w:hint="eastAsia" w:ascii="宋体" w:hAnsi="宋体"/>
          <w:color w:val="auto"/>
          <w:sz w:val="24"/>
          <w:highlight w:val="none"/>
        </w:rPr>
        <w:t>所有土方或拆除物的场内运输已包含在各项综合单价中，结算不予调整。投标人应自行组织踏勘现场，充分考虑风险因素。</w:t>
      </w:r>
      <w:r>
        <w:rPr>
          <w:rFonts w:hint="eastAsia" w:ascii="宋体" w:hAnsi="宋体"/>
          <w:color w:val="auto"/>
          <w:sz w:val="24"/>
          <w:highlight w:val="none"/>
          <w:lang w:val="en-US" w:eastAsia="zh-CN"/>
        </w:rPr>
        <w:t>开挖土方所需配合措施（如配合挖机、汽车所用钢板等），在报价时充分考虑该风险，分摊至各单价中，不另行签证计价</w:t>
      </w:r>
      <w:r>
        <w:rPr>
          <w:rFonts w:hint="eastAsia"/>
          <w:color w:val="auto"/>
          <w:sz w:val="24"/>
          <w:highlight w:val="none"/>
          <w:lang w:val="en-US"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4、</w:t>
      </w:r>
      <w:r>
        <w:rPr>
          <w:rFonts w:hint="eastAsia"/>
          <w:color w:val="auto"/>
          <w:sz w:val="24"/>
          <w:szCs w:val="24"/>
        </w:rPr>
        <w:t>本工程所用砼</w:t>
      </w:r>
      <w:r>
        <w:rPr>
          <w:rFonts w:hint="eastAsia"/>
          <w:color w:val="auto"/>
          <w:sz w:val="24"/>
          <w:szCs w:val="24"/>
          <w:lang w:eastAsia="zh-CN"/>
        </w:rPr>
        <w:t>、</w:t>
      </w:r>
      <w:r>
        <w:rPr>
          <w:rFonts w:hint="eastAsia"/>
          <w:color w:val="auto"/>
          <w:sz w:val="24"/>
          <w:szCs w:val="24"/>
          <w:lang w:val="en-US" w:eastAsia="zh-CN"/>
        </w:rPr>
        <w:t>砂浆</w:t>
      </w:r>
      <w:r>
        <w:rPr>
          <w:rFonts w:hint="eastAsia"/>
          <w:color w:val="auto"/>
          <w:sz w:val="24"/>
          <w:szCs w:val="24"/>
        </w:rPr>
        <w:t>均为预拌商品砼</w:t>
      </w:r>
      <w:r>
        <w:rPr>
          <w:rFonts w:hint="eastAsia"/>
          <w:color w:val="auto"/>
          <w:sz w:val="24"/>
          <w:szCs w:val="24"/>
          <w:lang w:eastAsia="zh-CN"/>
        </w:rPr>
        <w:t>、</w:t>
      </w:r>
      <w:r>
        <w:rPr>
          <w:rFonts w:hint="eastAsia"/>
          <w:color w:val="auto"/>
          <w:sz w:val="24"/>
          <w:szCs w:val="24"/>
          <w:lang w:val="en-US" w:eastAsia="zh-CN"/>
        </w:rPr>
        <w:t>砂浆</w:t>
      </w:r>
      <w:r>
        <w:rPr>
          <w:rFonts w:hint="eastAsia"/>
          <w:color w:val="auto"/>
          <w:sz w:val="24"/>
          <w:szCs w:val="24"/>
        </w:rPr>
        <w:t>（无论清单项目特征是否注明砼拌和方式），投标人应按此要求报价，并含在相应的投标综合单价内。如投标人选用预拌商品砼输送方式与清单项目特征不符，请在投标综合单价中自行考虑，结算时，预拌商品砼输送方式不同，综合单价不调整，投标人报价时应充分考虑此因素</w:t>
      </w:r>
      <w:r>
        <w:rPr>
          <w:color w:val="auto"/>
          <w:sz w:val="24"/>
          <w:szCs w:val="24"/>
        </w:rPr>
        <w:t>。</w:t>
      </w:r>
      <w:r>
        <w:rPr>
          <w:rFonts w:hint="eastAsia"/>
          <w:color w:val="auto"/>
          <w:sz w:val="24"/>
          <w:szCs w:val="24"/>
          <w:lang w:val="en-US" w:eastAsia="zh-CN"/>
        </w:rPr>
        <w:t>本工程中各种混凝土垫层、基层须按设计及规范要求设置施工缝、伸缩缝、变形缝、 沉降缝等工作内容，投标人应根据设计图纸、施工规范及施工方案自行考虑投标报价，无论清单中是否描述，投标人都应将该费用包含在相应清单项目的综合单价内，结算时不另计算也不作任何调整。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5、现浇混凝土及预制混凝土构件项目的工作内容均包括模板工程，在措施费中，混凝土模板项目不单列，即混凝土工程项目的综合单价中已包括了模板工程的费用</w:t>
      </w:r>
      <w:r>
        <w:rPr>
          <w:rFonts w:hint="eastAsia"/>
          <w:color w:val="auto"/>
          <w:sz w:val="24"/>
          <w:szCs w:val="24"/>
          <w:lang w:eastAsia="zh-CN"/>
        </w:rPr>
        <w:t>（</w:t>
      </w:r>
      <w:r>
        <w:rPr>
          <w:rFonts w:hint="eastAsia"/>
          <w:color w:val="auto"/>
          <w:sz w:val="24"/>
          <w:szCs w:val="24"/>
          <w:lang w:val="en-US" w:eastAsia="zh-CN"/>
        </w:rPr>
        <w:t>无论清单是否描述，均不调整</w:t>
      </w:r>
      <w:r>
        <w:rPr>
          <w:rFonts w:hint="eastAsia"/>
          <w:color w:val="auto"/>
          <w:sz w:val="24"/>
          <w:szCs w:val="24"/>
          <w:lang w:eastAsia="zh-CN"/>
        </w:rPr>
        <w:t>）</w:t>
      </w:r>
      <w:r>
        <w:rPr>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6、</w:t>
      </w:r>
      <w:r>
        <w:rPr>
          <w:rFonts w:hint="eastAsia"/>
          <w:color w:val="auto"/>
          <w:sz w:val="24"/>
          <w:szCs w:val="24"/>
          <w:lang w:val="en-US" w:eastAsia="zh-CN"/>
        </w:rPr>
        <w:t>清单项目是施工工序的综合，招标人按规范编制的综合工序可能和设计图纸提供的“工程数量表”的计量单位及工序划分不一样，投标人应根据2013 版《建设工程工程量清单计价规范》规定的工程内容计算各项费用，计算施工工序数量应以设计图示（断面）尺寸为依据，设计图上所示的单位工程数量的含量只是参考。业主不承担由于设计图上提供的分项或分部工程量表缺陷而造成的各项索赔</w:t>
      </w:r>
      <w:r>
        <w:rPr>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7、</w:t>
      </w:r>
      <w:r>
        <w:rPr>
          <w:rFonts w:hint="eastAsia"/>
          <w:color w:val="auto"/>
          <w:sz w:val="24"/>
          <w:szCs w:val="24"/>
          <w:lang w:val="en-US" w:eastAsia="zh-CN"/>
        </w:rPr>
        <w:t>投标人应充分做好踏勘工作，负责做好施工场地周围高空线路、地下管线和邻近建筑物、构筑物（含文物保护建筑）、古树名木的保护工作，并将预计可能发生的费用列入投标报价中。需特别提醒投标人，因施工现场现有的周边条件而采用的施工方案所增加的措施费，投标人需自行调查后充分考虑在相关的投标报价中，不得因此另行增加费用</w:t>
      </w:r>
      <w:r>
        <w:rPr>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lang w:val="en-US" w:eastAsia="zh-CN"/>
        </w:rPr>
        <w:t>8</w:t>
      </w:r>
      <w:r>
        <w:rPr>
          <w:color w:val="auto"/>
          <w:sz w:val="24"/>
          <w:szCs w:val="24"/>
        </w:rPr>
        <w:t>、彩钢板围挡，需满足现场施工需要（含横管、竖管、支撑、广告布等所有费用)；设置夜间警示灯和喷淋系统；满足常开委办</w:t>
      </w:r>
      <w:r>
        <w:rPr>
          <w:rFonts w:hint="eastAsia"/>
          <w:color w:val="auto"/>
          <w:sz w:val="24"/>
          <w:szCs w:val="24"/>
          <w:lang w:val="en-US" w:eastAsia="zh-CN"/>
        </w:rPr>
        <w:t>[</w:t>
      </w:r>
      <w:r>
        <w:rPr>
          <w:color w:val="auto"/>
          <w:sz w:val="24"/>
          <w:szCs w:val="24"/>
        </w:rPr>
        <w:t>2020</w:t>
      </w:r>
      <w:r>
        <w:rPr>
          <w:rFonts w:hint="eastAsia"/>
          <w:color w:val="auto"/>
          <w:sz w:val="24"/>
          <w:szCs w:val="24"/>
          <w:lang w:val="en-US" w:eastAsia="zh-CN"/>
        </w:rPr>
        <w:t>]</w:t>
      </w:r>
      <w:r>
        <w:rPr>
          <w:color w:val="auto"/>
          <w:sz w:val="24"/>
          <w:szCs w:val="24"/>
        </w:rPr>
        <w:t>87 号文件要求及我市城市长效管理要求。现场搭设的广告布须按甲方要求搭设。</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rFonts w:hint="eastAsia"/>
          <w:color w:val="auto"/>
          <w:sz w:val="24"/>
          <w:szCs w:val="24"/>
          <w:lang w:val="en-US" w:eastAsia="zh-CN"/>
        </w:rPr>
        <w:t>9</w:t>
      </w:r>
      <w:r>
        <w:rPr>
          <w:color w:val="auto"/>
          <w:sz w:val="24"/>
          <w:szCs w:val="24"/>
        </w:rPr>
        <w:t>、</w:t>
      </w:r>
      <w:r>
        <w:rPr>
          <w:rFonts w:hint="eastAsia"/>
          <w:color w:val="auto"/>
          <w:sz w:val="24"/>
          <w:szCs w:val="24"/>
          <w:lang w:val="en-US" w:eastAsia="zh-CN"/>
        </w:rPr>
        <w:t>发包人（招标人）不提供超出定点线外的临时用地，若另需租用土地，费用视为已纳入合适的报价项目中。施工临时用电、用水</w:t>
      </w:r>
      <w:r>
        <w:rPr>
          <w:rFonts w:hint="eastAsia" w:ascii="宋体" w:hAnsi="宋体" w:cs="Arial"/>
          <w:color w:val="auto"/>
          <w:sz w:val="24"/>
          <w:highlight w:val="none"/>
        </w:rPr>
        <w:t>或自行发电等费用</w:t>
      </w:r>
      <w:r>
        <w:rPr>
          <w:rFonts w:hint="eastAsia"/>
          <w:color w:val="auto"/>
          <w:sz w:val="24"/>
          <w:szCs w:val="24"/>
          <w:lang w:val="en-US" w:eastAsia="zh-CN"/>
        </w:rPr>
        <w:t>由中标人自行解决，发生的申请和使用费用全部纳入投标报价，如有需要，发包人可协助中标人办理相关申请手续。投标人还应当考虑施工过程因涉及的陆上、水上与交通、路政、水利等部门的申请事项所发生的押金或保证金等临时性费用</w:t>
      </w:r>
      <w:r>
        <w:rPr>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1</w:t>
      </w:r>
      <w:r>
        <w:rPr>
          <w:rFonts w:hint="eastAsia"/>
          <w:color w:val="auto"/>
          <w:sz w:val="24"/>
          <w:szCs w:val="24"/>
          <w:lang w:val="en-US" w:eastAsia="zh-CN"/>
        </w:rPr>
        <w:t>0</w:t>
      </w:r>
      <w:r>
        <w:rPr>
          <w:color w:val="auto"/>
          <w:sz w:val="24"/>
          <w:szCs w:val="24"/>
        </w:rPr>
        <w:t>、</w:t>
      </w:r>
      <w:r>
        <w:rPr>
          <w:color w:val="auto"/>
          <w:spacing w:val="-4"/>
          <w:sz w:val="24"/>
          <w:szCs w:val="24"/>
          <w:highlight w:val="none"/>
        </w:rPr>
        <w:t>本清单所列工程数量是根据现场情况估算和暂定的，仅作为投标的共同基础，</w:t>
      </w:r>
      <w:r>
        <w:rPr>
          <w:color w:val="auto"/>
          <w:spacing w:val="2"/>
          <w:sz w:val="24"/>
          <w:szCs w:val="24"/>
          <w:highlight w:val="none"/>
        </w:rPr>
        <w:t>不能作为最终结算与支付的依据。结算与支付应以监理工程师认可的、按图纸和规范要</w:t>
      </w:r>
      <w:r>
        <w:rPr>
          <w:color w:val="auto"/>
          <w:sz w:val="24"/>
          <w:szCs w:val="24"/>
          <w:highlight w:val="none"/>
        </w:rPr>
        <w:t>求完成的工程数量为依据。</w:t>
      </w:r>
      <w:r>
        <w:rPr>
          <w:color w:val="auto"/>
          <w:spacing w:val="5"/>
          <w:sz w:val="24"/>
          <w:szCs w:val="24"/>
          <w:highlight w:val="none"/>
        </w:rPr>
        <w:t>完成的工程数量，应由承包商按监理工程师认可的尺寸断面或其他计量方法进行计</w:t>
      </w:r>
      <w:r>
        <w:rPr>
          <w:color w:val="auto"/>
          <w:spacing w:val="2"/>
          <w:sz w:val="24"/>
          <w:szCs w:val="24"/>
          <w:highlight w:val="none"/>
        </w:rPr>
        <w:t>算。工程量清单中所列工程量的变动，丝毫不会降低或影响合同条件的效力，也不免除承包商按规定</w:t>
      </w:r>
      <w:r>
        <w:rPr>
          <w:color w:val="auto"/>
          <w:sz w:val="24"/>
          <w:szCs w:val="24"/>
          <w:highlight w:val="none"/>
        </w:rPr>
        <w:t>的标准进行施工和修复缺陷的责任</w:t>
      </w:r>
      <w:r>
        <w:rPr>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highlight w:val="none"/>
          <w:lang w:eastAsia="zh-CN"/>
        </w:rPr>
      </w:pPr>
      <w:r>
        <w:rPr>
          <w:rFonts w:hint="eastAsia"/>
          <w:color w:val="auto"/>
          <w:sz w:val="24"/>
          <w:szCs w:val="24"/>
          <w:lang w:val="en-US" w:eastAsia="zh-CN"/>
        </w:rPr>
        <w:t>11、</w:t>
      </w:r>
      <w:r>
        <w:rPr>
          <w:rFonts w:hint="eastAsia" w:ascii="宋体" w:hAnsi="宋体" w:cs="宋体"/>
          <w:color w:val="auto"/>
          <w:kern w:val="0"/>
          <w:sz w:val="24"/>
          <w:highlight w:val="none"/>
        </w:rPr>
        <w:t>本工程施工不允许交叉污染，避免扬尘，影响市容市貌，要求工完场清，因此二次搬运费、成品保护费、有效控制扬尘以及施工受到各种行人行车等各种影响因素，全部包含在报价内，不另行签证计价。</w:t>
      </w:r>
      <w:r>
        <w:rPr>
          <w:rFonts w:hint="eastAsia" w:ascii="宋体" w:hAnsi="宋体"/>
          <w:color w:val="auto"/>
          <w:sz w:val="24"/>
          <w:highlight w:val="none"/>
        </w:rPr>
        <w:t>垃圾处理要求按照“常城管（2019）31号”文件执行，该项费用包干</w:t>
      </w:r>
      <w:r>
        <w:rPr>
          <w:rFonts w:hint="eastAsia"/>
          <w:color w:val="auto"/>
          <w:sz w:val="24"/>
          <w:highlight w:val="none"/>
          <w:lang w:eastAsia="zh-CN"/>
        </w:rPr>
        <w:t>（</w:t>
      </w:r>
      <w:r>
        <w:rPr>
          <w:rFonts w:hint="eastAsia"/>
          <w:color w:val="auto"/>
          <w:sz w:val="24"/>
          <w:highlight w:val="none"/>
          <w:lang w:val="en-US" w:eastAsia="zh-CN"/>
        </w:rPr>
        <w:t>不另计费</w:t>
      </w:r>
      <w:r>
        <w:rPr>
          <w:rFonts w:hint="eastAsia"/>
          <w:color w:val="auto"/>
          <w:sz w:val="24"/>
          <w:highlight w:val="none"/>
          <w:lang w:eastAsia="zh-CN"/>
        </w:rPr>
        <w:t>）</w:t>
      </w:r>
      <w:r>
        <w:rPr>
          <w:rFonts w:hint="eastAsia" w:ascii="宋体" w:hAnsi="宋体"/>
          <w:color w:val="auto"/>
          <w:sz w:val="24"/>
          <w:highlight w:val="none"/>
        </w:rPr>
        <w:t>。防尘处理按照“坛城管字（2019）17号”文件执行</w:t>
      </w:r>
      <w:r>
        <w:rPr>
          <w:rFonts w:hint="eastAsia"/>
          <w:color w:val="auto"/>
          <w:sz w:val="24"/>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highlight w:val="none"/>
          <w:lang w:eastAsia="zh-CN"/>
        </w:rPr>
      </w:pPr>
      <w:r>
        <w:rPr>
          <w:rFonts w:hint="eastAsia"/>
          <w:color w:val="auto"/>
          <w:sz w:val="24"/>
          <w:highlight w:val="none"/>
          <w:lang w:val="en-US" w:eastAsia="zh-CN"/>
        </w:rPr>
        <w:t>12、</w:t>
      </w:r>
      <w:r>
        <w:rPr>
          <w:rFonts w:hint="eastAsia"/>
          <w:color w:val="auto"/>
          <w:sz w:val="24"/>
          <w:szCs w:val="24"/>
          <w:highlight w:val="none"/>
          <w:lang w:val="en-US" w:eastAsia="zh-CN"/>
        </w:rPr>
        <w:t>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w:t>
      </w:r>
      <w:r>
        <w:rPr>
          <w:rFonts w:hint="eastAsia"/>
          <w:color w:val="auto"/>
          <w:sz w:val="24"/>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Arial"/>
          <w:color w:val="auto"/>
          <w:sz w:val="24"/>
          <w:highlight w:val="none"/>
          <w:lang w:eastAsia="zh-CN"/>
        </w:rPr>
      </w:pPr>
      <w:r>
        <w:rPr>
          <w:rFonts w:hint="eastAsia"/>
          <w:color w:val="auto"/>
          <w:sz w:val="24"/>
          <w:highlight w:val="none"/>
          <w:lang w:val="en-US" w:eastAsia="zh-CN"/>
        </w:rPr>
        <w:t>13、</w:t>
      </w:r>
      <w:r>
        <w:rPr>
          <w:rFonts w:hint="eastAsia" w:ascii="宋体" w:hAnsi="宋体" w:cs="Arial"/>
          <w:color w:val="auto"/>
          <w:sz w:val="24"/>
          <w:highlight w:val="none"/>
        </w:rPr>
        <w:t>现场涉及工作交接等，各工种、各专业之间无条件配合，不计取任何配合费和服务费</w:t>
      </w:r>
      <w:r>
        <w:rPr>
          <w:rFonts w:hint="eastAsia" w:cs="Arial"/>
          <w:color w:val="auto"/>
          <w:sz w:val="24"/>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eastAsia="宋体" w:cs="Arial"/>
          <w:color w:val="auto"/>
          <w:sz w:val="24"/>
          <w:highlight w:val="none"/>
          <w:lang w:val="en-US" w:eastAsia="zh-CN"/>
        </w:rPr>
      </w:pPr>
      <w:r>
        <w:rPr>
          <w:rFonts w:hint="eastAsia" w:cs="Arial"/>
          <w:color w:val="auto"/>
          <w:sz w:val="24"/>
          <w:highlight w:val="none"/>
          <w:lang w:val="en-US" w:eastAsia="zh-CN"/>
        </w:rPr>
        <w:t>14、</w:t>
      </w:r>
      <w:r>
        <w:rPr>
          <w:rFonts w:hint="eastAsia" w:ascii="宋体" w:hAnsi="宋体"/>
          <w:color w:val="auto"/>
          <w:sz w:val="24"/>
          <w:highlight w:val="none"/>
          <w:lang w:val="en-US" w:eastAsia="zh-CN"/>
        </w:rPr>
        <w:t>工程施工时应符合对环境的要求。充分考虑淤泥、淤泥质土、建筑垃圾、耕植土、杂填土的弃运等处理。报价时自行在投标价中考虑弃运过程中相关部门的管理规范要求而发生的环境保护费用、堆放场地的场地费（消纳费）以及掩埋等处置费用。对于施工过程中出现的工程渣土、建筑、装修垃圾等，投标人应优先考虑采用湿化装卸，使用符合密闭条件的工具，按照核定载重量，在指定的时间、线路行驶，由此增加的费用，投标人应考虑在报价中</w:t>
      </w:r>
      <w:r>
        <w:rPr>
          <w:rFonts w:hint="eastAsia" w:cs="Arial"/>
          <w:color w:val="auto"/>
          <w:sz w:val="24"/>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15、场地原有管线、地下构筑物等，施工前充分详细物探明确。如施工造成损坏，相关费用（包含但不限于针对性的保护措施费用）施工单位自理。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16、钻孔灌注桩报价中含陆上平台（或水中平台）、护筒埋设、泥浆池建拆（或采用钢制可移动泥浆箱）、泥浆制作、钻孔、泥水分离装置设备费、钻渣外运、灌注、空钻、桩机移位、桩头处理及场地处理等所有费用。本工程钻孔桩施工时需设泥水分离装置，不得采用泥浆外运方式，钻渣需经泥水分离装置分离处置后，土、水分别外运。本清单所列的桩基础为泥浆护壁钻孔灌注桩，如施工过程中因环境保护要求而采用不同的成孔方式及不同的泥浆池做法（更环保、更美观时），或实际施工时招标人为加快施工进度会要求投标人采用旋挖钻或其他更为快速的桩基础施工方式，投标人应充分考虑该部分的费用差异并将其计入相关清单项目的报价中，结算时关于该差异的费用不再另行计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17、本清单现浇钢筋中伸出构件的锚固钢筋、预制构件的吊钩和固定位置的支撑钢筋等，已并入钢筋工程量内，所有施工搭接工程量，由投标人在报价中自行综合考虑。墙体内和底板、顶板等部位需设置的拉结筋和马櫈筋用量投标人需按规范和设计要求，综合考虑在报价中，不因钢筋（包括钢筋网片）搭接、焊接、机械连接等连接方式的改变而改变工程造价，投标人在报价时综合考虑。</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18、为工程本身实施的各种临时道路的地基加固处理、地基清理及废料外运、临时桥梁（便桥）、现有桥梁保护、所有预制构件运输与吊装时施工现有道路所需的地基加固与处理等费用由投标人自行充分考虑计入相应的措施项目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rPr>
      </w:pPr>
      <w:r>
        <w:rPr>
          <w:rFonts w:hint="eastAsia"/>
          <w:color w:val="auto"/>
          <w:sz w:val="24"/>
          <w:szCs w:val="24"/>
          <w:lang w:val="en-US" w:eastAsia="zh-CN"/>
        </w:rPr>
        <w:t>19、投标人可根据施工组织设计采取的方案自行相应增加措施项目。设计图纸提供的施工方案仅为参考方案，投标人在报价时应结合本单位的具体情况，充分考虑各自实际的施工组织设计、施工方案及技术措施，据实报价，一旦中标，除非设计图纸发生重大变更导致施工方案变化，投标报价的措施项目均不再调整，因现场实际方案与投标报价时方案不一致引起的措施项目改变，也不再另计。结算时承包人自行在措施项目清单计价中相应增加措施项目均按项（总价）计量，其费用包干使用，结算时不再另行调整；单价措施项目中按综合单价计价的，若调整时按变更原则执行，单价措施项目中按项计量的由承包人综合考虑并将其费用报入该项费用中，其费用包干使用，结算时不再另行调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 xml:space="preserve">20、关于土方工程相关说明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 xml:space="preserve">a) 挖沟槽、基坑、一般土方因工作面和放坡增加的工程量并入土方工程量中，放坡系数和工作面宽度按规范执行，如承包人施工组织设计及实际施工过程中的放坡系数和工作面宽度与规范不同时，按发包人及监理等认可的工程量按实际计量。挖填土、压实机械和人工方式及比例自行考虑进入综合单价中，以及场内土方临时归堆等都综合考虑在土方单价内，结算不调整单价。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 xml:space="preserve">b) 因环保及大气管控要求导致的土方临时周转或弃运间断进行所增加的费用投标人自行考虑。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c) 投标人应根据现场实际情况、招标人要求等综合考虑报价，同时综合考虑挖土、回填土及运距、弃场等各类因素，均综合在报价中，结算不调整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 xml:space="preserve">d) 所有填方按竣工压实体积考虑；所有挖方、拆除物按天然密实体积考虑；所有构筑物按实际占用体积考虑；不考虑挖土与填土在体积上的变化；不考虑填土密实度和取土密实度的差异。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e) 路基压实补偿及加宽填筑等数量，投标单位应在综合单价中予以考虑，结算时不再单独计量。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sz w:val="24"/>
          <w:szCs w:val="24"/>
          <w:lang w:val="en-US" w:eastAsia="zh-CN"/>
        </w:rPr>
      </w:pPr>
      <w:r>
        <w:rPr>
          <w:rFonts w:hint="eastAsia"/>
          <w:color w:val="auto"/>
          <w:sz w:val="24"/>
          <w:szCs w:val="24"/>
          <w:lang w:val="en-US" w:eastAsia="zh-CN"/>
        </w:rPr>
        <w:t xml:space="preserve">21、投标人应按照住建部建办质〔2018〕31 号文《住房城乡建设部办公厅关于实施&lt;危险性较大的分部分项工程安全管理规定&gt;有关问题的通知》、〔2018〕37 号令《危险性较大的分部分项工程安全管理规定》和《大型工程技术风险控制要点》等相关文件要求，把应由投标人承担的危险较大的风险控制的费用综合考虑在投标报价中，并实施到位；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b/>
          <w:bCs/>
          <w:color w:val="auto"/>
          <w:sz w:val="24"/>
          <w:szCs w:val="24"/>
        </w:rPr>
      </w:pPr>
      <w:r>
        <w:rPr>
          <w:rFonts w:hint="eastAsia"/>
          <w:color w:val="auto"/>
          <w:sz w:val="24"/>
          <w:szCs w:val="24"/>
          <w:lang w:val="en-US" w:eastAsia="zh-CN"/>
        </w:rPr>
        <w:t>22、本工程实施过程中遇到专项施工方案需要专家评审论证的，专家评审论证费用包含在投标报价中；如有深化设计的，深化设计费用包含在投标报价中。</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b/>
          <w:bCs/>
          <w:color w:val="auto"/>
          <w:sz w:val="24"/>
          <w:szCs w:val="24"/>
        </w:rPr>
      </w:pPr>
      <w:r>
        <w:rPr>
          <w:b/>
          <w:bCs/>
          <w:color w:val="auto"/>
          <w:sz w:val="24"/>
          <w:szCs w:val="24"/>
        </w:rPr>
        <w:t>五、总价措施项目清单与计价表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安全文明施工费费率详见工程量清单。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b w:val="0"/>
          <w:bCs w:val="0"/>
          <w:color w:val="auto"/>
          <w:sz w:val="24"/>
          <w:szCs w:val="24"/>
        </w:rPr>
      </w:pPr>
      <w:r>
        <w:rPr>
          <w:rFonts w:hint="eastAsia"/>
          <w:color w:val="auto"/>
          <w:sz w:val="24"/>
          <w:szCs w:val="24"/>
        </w:rPr>
        <w:t>扬尘污染：依据江苏省住房和城乡建设厅公告</w:t>
      </w:r>
      <w:r>
        <w:rPr>
          <w:rFonts w:hint="eastAsia"/>
          <w:color w:val="auto"/>
          <w:sz w:val="24"/>
          <w:szCs w:val="24"/>
          <w:lang w:val="en-US" w:eastAsia="zh-CN"/>
        </w:rPr>
        <w:t>[</w:t>
      </w:r>
      <w:r>
        <w:rPr>
          <w:rFonts w:hint="eastAsia"/>
          <w:color w:val="auto"/>
          <w:sz w:val="24"/>
          <w:szCs w:val="24"/>
        </w:rPr>
        <w:t>2018</w:t>
      </w:r>
      <w:r>
        <w:rPr>
          <w:rFonts w:hint="eastAsia"/>
          <w:color w:val="auto"/>
          <w:sz w:val="24"/>
          <w:szCs w:val="24"/>
          <w:lang w:val="en-US" w:eastAsia="zh-CN"/>
        </w:rPr>
        <w:t>]</w:t>
      </w:r>
      <w:r>
        <w:rPr>
          <w:rFonts w:hint="eastAsia"/>
          <w:color w:val="auto"/>
          <w:sz w:val="24"/>
          <w:szCs w:val="24"/>
        </w:rPr>
        <w:t>第42号《省住房城乡建设厅关于调</w:t>
      </w:r>
      <w:r>
        <w:rPr>
          <w:rFonts w:hint="eastAsia"/>
          <w:b w:val="0"/>
          <w:bCs w:val="0"/>
          <w:color w:val="auto"/>
          <w:sz w:val="24"/>
          <w:szCs w:val="24"/>
        </w:rPr>
        <w:t>整建设工程按质论价等费用计取方法的公告》</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b/>
          <w:bCs/>
          <w:color w:val="auto"/>
          <w:sz w:val="24"/>
          <w:szCs w:val="24"/>
        </w:rPr>
      </w:pPr>
      <w:r>
        <w:rPr>
          <w:rFonts w:hint="eastAsia"/>
          <w:b/>
          <w:bCs/>
          <w:color w:val="auto"/>
          <w:sz w:val="24"/>
          <w:szCs w:val="24"/>
          <w:lang w:val="en-US" w:eastAsia="zh-CN"/>
        </w:rPr>
        <w:t>六、</w:t>
      </w:r>
      <w:r>
        <w:rPr>
          <w:b/>
          <w:bCs/>
          <w:color w:val="auto"/>
          <w:sz w:val="24"/>
          <w:szCs w:val="24"/>
        </w:rPr>
        <w:t>规费、税金项目计价表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color w:val="auto"/>
          <w:sz w:val="24"/>
          <w:szCs w:val="24"/>
        </w:rPr>
      </w:pPr>
      <w:r>
        <w:rPr>
          <w:color w:val="auto"/>
          <w:sz w:val="24"/>
          <w:szCs w:val="24"/>
        </w:rPr>
        <w:t>社会保险费、住房公积金、环境保护税、税金费率详见工程量清单。</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firstLine="4800" w:firstLineChars="2000"/>
        <w:textAlignment w:val="auto"/>
        <w:rPr>
          <w:rFonts w:hint="eastAsia"/>
          <w:color w:val="auto"/>
          <w:sz w:val="24"/>
          <w:szCs w:val="24"/>
        </w:rPr>
      </w:pPr>
      <w:r>
        <w:rPr>
          <w:rFonts w:hint="eastAsia"/>
          <w:color w:val="auto"/>
          <w:sz w:val="24"/>
          <w:szCs w:val="24"/>
        </w:rPr>
        <w:t>江苏骏通建设项目管理咨询有限公司</w:t>
      </w:r>
    </w:p>
    <w:p>
      <w:pPr>
        <w:keepNext w:val="0"/>
        <w:keepLines w:val="0"/>
        <w:pageBreakBefore w:val="0"/>
        <w:widowControl w:val="0"/>
        <w:kinsoku/>
        <w:wordWrap/>
        <w:overflowPunct/>
        <w:topLinePunct w:val="0"/>
        <w:autoSpaceDE w:val="0"/>
        <w:autoSpaceDN w:val="0"/>
        <w:bidi w:val="0"/>
        <w:adjustRightInd/>
        <w:snapToGrid/>
        <w:spacing w:line="360" w:lineRule="auto"/>
        <w:ind w:firstLine="6720" w:firstLineChars="2800"/>
        <w:textAlignment w:val="auto"/>
        <w:rPr>
          <w:color w:val="auto"/>
          <w:sz w:val="24"/>
          <w:szCs w:val="24"/>
        </w:rPr>
      </w:pPr>
      <w:r>
        <w:rPr>
          <w:color w:val="auto"/>
          <w:sz w:val="24"/>
          <w:szCs w:val="24"/>
        </w:rPr>
        <w:t>202</w:t>
      </w:r>
      <w:r>
        <w:rPr>
          <w:rFonts w:hint="eastAsia"/>
          <w:color w:val="auto"/>
          <w:sz w:val="24"/>
          <w:szCs w:val="24"/>
          <w:lang w:val="en-US" w:eastAsia="zh-CN"/>
        </w:rPr>
        <w:t>3</w:t>
      </w:r>
      <w:r>
        <w:rPr>
          <w:color w:val="auto"/>
          <w:sz w:val="24"/>
          <w:szCs w:val="24"/>
        </w:rPr>
        <w:t xml:space="preserve"> 年 </w:t>
      </w:r>
      <w:r>
        <w:rPr>
          <w:rFonts w:hint="eastAsia"/>
          <w:color w:val="auto"/>
          <w:sz w:val="24"/>
          <w:szCs w:val="24"/>
          <w:lang w:val="en-US" w:eastAsia="zh-CN"/>
        </w:rPr>
        <w:t>08</w:t>
      </w:r>
      <w:r>
        <w:rPr>
          <w:color w:val="auto"/>
          <w:sz w:val="24"/>
          <w:szCs w:val="24"/>
        </w:rPr>
        <w:t xml:space="preserve"> 月</w:t>
      </w:r>
    </w:p>
    <w:bookmarkEnd w:id="0"/>
    <w:sectPr>
      <w:pgSz w:w="11910" w:h="16850"/>
      <w:pgMar w:top="800" w:right="980" w:bottom="280" w:left="13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WY0ZTUxZmIyZWEzOTVmOWU1YWNiZGE0ZDA4OTAyMGEifQ=="/>
  </w:docVars>
  <w:rsids>
    <w:rsidRoot w:val="00000000"/>
    <w:rsid w:val="029D780E"/>
    <w:rsid w:val="02E42BAD"/>
    <w:rsid w:val="04BC07F2"/>
    <w:rsid w:val="04CD201D"/>
    <w:rsid w:val="05701790"/>
    <w:rsid w:val="064D551F"/>
    <w:rsid w:val="098470A4"/>
    <w:rsid w:val="099879E4"/>
    <w:rsid w:val="09ED4D59"/>
    <w:rsid w:val="0A03435D"/>
    <w:rsid w:val="0B013B5F"/>
    <w:rsid w:val="0B890BE6"/>
    <w:rsid w:val="0D1C6FD2"/>
    <w:rsid w:val="0D8A2E1A"/>
    <w:rsid w:val="0E5C4FCE"/>
    <w:rsid w:val="0E7000A4"/>
    <w:rsid w:val="0F4B6C52"/>
    <w:rsid w:val="0F931E02"/>
    <w:rsid w:val="0FE94D62"/>
    <w:rsid w:val="118029C1"/>
    <w:rsid w:val="11AA0C8C"/>
    <w:rsid w:val="12343E48"/>
    <w:rsid w:val="127C6B6A"/>
    <w:rsid w:val="12E951FA"/>
    <w:rsid w:val="14987D25"/>
    <w:rsid w:val="14DE7591"/>
    <w:rsid w:val="174E6D4D"/>
    <w:rsid w:val="18EF3FBE"/>
    <w:rsid w:val="198A6011"/>
    <w:rsid w:val="1A9F62FC"/>
    <w:rsid w:val="1B0574ED"/>
    <w:rsid w:val="1BB23B76"/>
    <w:rsid w:val="1C08559C"/>
    <w:rsid w:val="1DA57293"/>
    <w:rsid w:val="1DEF11CB"/>
    <w:rsid w:val="1E1467F1"/>
    <w:rsid w:val="1EF53C64"/>
    <w:rsid w:val="1F927F87"/>
    <w:rsid w:val="2075377D"/>
    <w:rsid w:val="20AB7A21"/>
    <w:rsid w:val="20E6394D"/>
    <w:rsid w:val="21D27278"/>
    <w:rsid w:val="22757DB9"/>
    <w:rsid w:val="23691BCC"/>
    <w:rsid w:val="2582093B"/>
    <w:rsid w:val="25D25702"/>
    <w:rsid w:val="26C863CA"/>
    <w:rsid w:val="276A5AAE"/>
    <w:rsid w:val="281F5C44"/>
    <w:rsid w:val="29A47C6E"/>
    <w:rsid w:val="29A55EAF"/>
    <w:rsid w:val="29D22ED3"/>
    <w:rsid w:val="2A716218"/>
    <w:rsid w:val="2B4947F8"/>
    <w:rsid w:val="2BAE6B1F"/>
    <w:rsid w:val="2E657EB5"/>
    <w:rsid w:val="31C311D4"/>
    <w:rsid w:val="32117643"/>
    <w:rsid w:val="341E7C58"/>
    <w:rsid w:val="3483684F"/>
    <w:rsid w:val="34FB0625"/>
    <w:rsid w:val="36165039"/>
    <w:rsid w:val="378F142B"/>
    <w:rsid w:val="37AE6ACC"/>
    <w:rsid w:val="37EA3097"/>
    <w:rsid w:val="3AD57C7D"/>
    <w:rsid w:val="3B213C10"/>
    <w:rsid w:val="3DBC4402"/>
    <w:rsid w:val="3EAD266D"/>
    <w:rsid w:val="3F9D704E"/>
    <w:rsid w:val="3FC75805"/>
    <w:rsid w:val="42291C88"/>
    <w:rsid w:val="436F553D"/>
    <w:rsid w:val="43F06F6D"/>
    <w:rsid w:val="4574179F"/>
    <w:rsid w:val="45DC4606"/>
    <w:rsid w:val="460F4FD0"/>
    <w:rsid w:val="4A67782F"/>
    <w:rsid w:val="4A972463"/>
    <w:rsid w:val="4ABA0F4B"/>
    <w:rsid w:val="4B1A4EA6"/>
    <w:rsid w:val="4C1713E9"/>
    <w:rsid w:val="4E58778C"/>
    <w:rsid w:val="4FCC6F06"/>
    <w:rsid w:val="51B53BE6"/>
    <w:rsid w:val="5217441C"/>
    <w:rsid w:val="53BA5E34"/>
    <w:rsid w:val="53CA35C9"/>
    <w:rsid w:val="544628C6"/>
    <w:rsid w:val="54950169"/>
    <w:rsid w:val="54F3218D"/>
    <w:rsid w:val="571373C6"/>
    <w:rsid w:val="57755AAE"/>
    <w:rsid w:val="57D64FD9"/>
    <w:rsid w:val="586C296A"/>
    <w:rsid w:val="58D7670A"/>
    <w:rsid w:val="591925DB"/>
    <w:rsid w:val="59EC5A68"/>
    <w:rsid w:val="5C0256A8"/>
    <w:rsid w:val="5C73041E"/>
    <w:rsid w:val="5DAC6039"/>
    <w:rsid w:val="5DDD21FF"/>
    <w:rsid w:val="5EC40F21"/>
    <w:rsid w:val="5EF20C6F"/>
    <w:rsid w:val="63266D38"/>
    <w:rsid w:val="675F16E0"/>
    <w:rsid w:val="68404A3E"/>
    <w:rsid w:val="692D25C0"/>
    <w:rsid w:val="6BA26EBD"/>
    <w:rsid w:val="6C1C1732"/>
    <w:rsid w:val="6C78665D"/>
    <w:rsid w:val="6CBE1A1A"/>
    <w:rsid w:val="6CF204E3"/>
    <w:rsid w:val="6FF9256C"/>
    <w:rsid w:val="71442942"/>
    <w:rsid w:val="714E16EE"/>
    <w:rsid w:val="71AE6F76"/>
    <w:rsid w:val="72326231"/>
    <w:rsid w:val="724C68A7"/>
    <w:rsid w:val="74414C55"/>
    <w:rsid w:val="762069DE"/>
    <w:rsid w:val="765B1855"/>
    <w:rsid w:val="770B0E0A"/>
    <w:rsid w:val="78561CDD"/>
    <w:rsid w:val="78BB5FF8"/>
    <w:rsid w:val="7AAE5167"/>
    <w:rsid w:val="7AFC4698"/>
    <w:rsid w:val="7C05560B"/>
    <w:rsid w:val="7C5A31FD"/>
    <w:rsid w:val="7EC24D77"/>
    <w:rsid w:val="7ECA3C03"/>
    <w:rsid w:val="7F9F0C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118"/>
      <w:outlineLvl w:val="1"/>
    </w:pPr>
    <w:rPr>
      <w:rFonts w:ascii="宋体" w:hAnsi="宋体" w:eastAsia="宋体" w:cs="宋体"/>
      <w:b/>
      <w:bCs/>
      <w:sz w:val="24"/>
      <w:szCs w:val="24"/>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18" w:firstLine="480"/>
    </w:pPr>
    <w:rPr>
      <w:rFonts w:ascii="宋体" w:hAnsi="宋体" w:eastAsia="宋体" w:cs="宋体"/>
      <w:sz w:val="24"/>
      <w:szCs w:val="24"/>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 w:type="paragraph" w:customStyle="1" w:styleId="9">
    <w:name w:val="正文 + 宋体"/>
    <w:basedOn w:val="1"/>
    <w:qFormat/>
    <w:uiPriority w:val="0"/>
    <w:pPr>
      <w:ind w:left="838" w:leftChars="285" w:hanging="240" w:hangingChars="100"/>
    </w:pPr>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4554</Words>
  <Characters>4721</Characters>
  <TotalTime>18</TotalTime>
  <ScaleCrop>false</ScaleCrop>
  <LinksUpToDate>false</LinksUpToDate>
  <CharactersWithSpaces>4764</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2022-07-04T09:22:00Z</dcterms:created>
  <dc:creator>Administrator</dc:creator>
  <cp:lastModifiedBy>ZIkai</cp:lastModifiedBy>
  <dcterms:modified xsi:type="dcterms:W3CDTF">2023-09-25T06:00:30Z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2021-11-25T00:00:00Z</vt:filetime>
  </property>
  <property fmtid="{D5CDD505-2E9C-101B-9397-08002B2CF9AE}" pid="3" name="LastSaved">
    <vt:filetime>2022-07-04T00:00:00Z</vt:filetime>
  </property>
  <property fmtid="{D5CDD505-2E9C-101B-9397-08002B2CF9AE}" pid="4" name="KSOProductBuildVer">
    <vt:lpwstr>2052-12.1.0.15398</vt:lpwstr>
  </property>
  <property fmtid="{D5CDD505-2E9C-101B-9397-08002B2CF9AE}" pid="5" name="ICV">
    <vt:lpwstr>C8A34838E1BD471ABA5ED45A29BE25A3</vt:lpwstr>
  </property>
</Properties>
</file>