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after="100" w:afterAutospacing="1" w:line="336" w:lineRule="auto"/>
        <w:ind w:firstLine="602" w:firstLineChars="200"/>
        <w:jc w:val="center"/>
        <w:textAlignment w:val="auto"/>
        <w:rPr>
          <w:rFonts w:ascii="宋体" w:hAnsi="宋体" w:eastAsia="宋体" w:cs="宋体"/>
          <w:b/>
          <w:bCs/>
          <w:sz w:val="30"/>
          <w:szCs w:val="30"/>
          <w:lang w:eastAsia="zh-CN"/>
        </w:rPr>
      </w:pPr>
      <w:r>
        <w:rPr>
          <w:rFonts w:hint="eastAsia" w:ascii="宋体" w:hAnsi="宋体" w:eastAsia="宋体" w:cs="宋体"/>
          <w:b/>
          <w:bCs/>
          <w:sz w:val="30"/>
          <w:szCs w:val="30"/>
          <w:lang w:val="en-US" w:eastAsia="zh-CN"/>
        </w:rPr>
        <w:t>工训楼一楼新能源制造车间项目工程量清单</w:t>
      </w:r>
      <w:r>
        <w:rPr>
          <w:rFonts w:hint="eastAsia" w:ascii="宋体" w:hAnsi="宋体" w:eastAsia="宋体" w:cs="宋体"/>
          <w:b/>
          <w:bCs/>
          <w:sz w:val="30"/>
          <w:szCs w:val="30"/>
          <w:lang w:eastAsia="zh-CN"/>
        </w:rPr>
        <w:t>编制说明</w:t>
      </w:r>
    </w:p>
    <w:p>
      <w:pPr>
        <w:keepNext w:val="0"/>
        <w:keepLines w:val="0"/>
        <w:pageBreakBefore w:val="0"/>
        <w:kinsoku/>
        <w:wordWrap/>
        <w:overflowPunct/>
        <w:topLinePunct w:val="0"/>
        <w:autoSpaceDE/>
        <w:autoSpaceDN/>
        <w:bidi w:val="0"/>
        <w:adjustRightInd/>
        <w:snapToGrid/>
        <w:spacing w:after="0" w:line="336" w:lineRule="auto"/>
        <w:ind w:firstLine="482" w:firstLineChars="200"/>
        <w:textAlignment w:val="auto"/>
        <w:rPr>
          <w:rFonts w:hint="eastAsia" w:ascii="宋体" w:hAnsi="宋体" w:eastAsia="宋体" w:cs="宋体"/>
          <w:b/>
          <w:bCs/>
          <w:sz w:val="24"/>
          <w:szCs w:val="24"/>
          <w:lang w:eastAsia="zh-CN"/>
        </w:rPr>
      </w:pPr>
      <w:r>
        <w:rPr>
          <w:rFonts w:hint="eastAsia" w:ascii="宋体" w:hAnsi="宋体" w:eastAsia="宋体" w:cs="宋体"/>
          <w:b/>
          <w:bCs/>
          <w:sz w:val="24"/>
          <w:szCs w:val="24"/>
          <w:lang w:eastAsia="zh-CN"/>
        </w:rPr>
        <w:t>一、编制依据</w:t>
      </w:r>
    </w:p>
    <w:p>
      <w:pPr>
        <w:keepNext w:val="0"/>
        <w:keepLines w:val="0"/>
        <w:pageBreakBefore w:val="0"/>
        <w:kinsoku/>
        <w:wordWrap/>
        <w:overflowPunct/>
        <w:topLinePunct w:val="0"/>
        <w:autoSpaceDE/>
        <w:autoSpaceDN/>
        <w:bidi w:val="0"/>
        <w:adjustRightInd/>
        <w:snapToGrid/>
        <w:spacing w:after="0" w:line="336" w:lineRule="auto"/>
        <w:ind w:firstLine="480" w:firstLineChars="200"/>
        <w:textAlignment w:val="auto"/>
        <w:rPr>
          <w:rFonts w:ascii="宋体" w:hAnsi="宋体" w:eastAsia="宋体" w:cs="宋体"/>
          <w:bCs/>
          <w:sz w:val="24"/>
          <w:szCs w:val="24"/>
          <w:lang w:eastAsia="zh-CN"/>
        </w:rPr>
      </w:pPr>
      <w:r>
        <w:rPr>
          <w:rFonts w:hint="eastAsia" w:ascii="宋体" w:hAnsi="宋体" w:eastAsia="宋体" w:cs="宋体"/>
          <w:bCs/>
          <w:sz w:val="24"/>
          <w:szCs w:val="24"/>
          <w:lang w:eastAsia="zh-CN"/>
        </w:rPr>
        <w:t>1、《建设工程工程量清单计价规范》GB50500-2013、《江苏省建设工程费用定额》（2014年）营改增后调整内容、常建（2016）94号文关于转发《省住房城乡建设厅关于建筑业实施营改增后江苏省建设工程计价依据调整的通知》的通知、苏建函价〔2018〕298号《省住房城乡建设厅关于建筑业增值税计价政策调整的通知》、常建[2019]1号关于贯彻《省住房城乡建设厅关于调整建设工程按质论价等费用计取方法的公告》的通知、苏建函价〔2019〕178号《省住房城乡建设厅关于调整建设工程计价增值税税率的通知》、《省住房城乡建设厅关于建筑工人实名制费用计取方法的公告》〔2019〕第19号；</w:t>
      </w:r>
    </w:p>
    <w:p>
      <w:pPr>
        <w:keepNext w:val="0"/>
        <w:keepLines w:val="0"/>
        <w:pageBreakBefore w:val="0"/>
        <w:kinsoku/>
        <w:wordWrap/>
        <w:overflowPunct/>
        <w:topLinePunct w:val="0"/>
        <w:autoSpaceDE/>
        <w:autoSpaceDN/>
        <w:bidi w:val="0"/>
        <w:adjustRightInd/>
        <w:snapToGrid/>
        <w:spacing w:after="0" w:line="336" w:lineRule="auto"/>
        <w:ind w:firstLine="480" w:firstLineChars="200"/>
        <w:textAlignment w:val="auto"/>
        <w:rPr>
          <w:rFonts w:ascii="宋体" w:hAnsi="宋体" w:eastAsia="宋体" w:cs="宋体"/>
          <w:b/>
          <w:bCs/>
          <w:sz w:val="24"/>
          <w:szCs w:val="24"/>
          <w:lang w:eastAsia="zh-CN"/>
        </w:rPr>
      </w:pPr>
      <w:r>
        <w:rPr>
          <w:rFonts w:hint="eastAsia" w:ascii="宋体" w:hAnsi="宋体" w:eastAsia="宋体" w:cs="宋体"/>
          <w:bCs/>
          <w:sz w:val="24"/>
          <w:szCs w:val="24"/>
          <w:lang w:eastAsia="zh-CN"/>
        </w:rPr>
        <w:t>2、委托方提供的设计图纸、招标文件、</w:t>
      </w:r>
      <w:r>
        <w:rPr>
          <w:rFonts w:hint="eastAsia" w:ascii="宋体" w:hAnsi="宋体" w:eastAsia="宋体" w:cs="宋体"/>
          <w:bCs/>
          <w:sz w:val="24"/>
          <w:szCs w:val="24"/>
          <w:lang w:val="en-US" w:eastAsia="zh-CN"/>
        </w:rPr>
        <w:t>现场</w:t>
      </w:r>
      <w:r>
        <w:rPr>
          <w:rFonts w:hint="eastAsia" w:cs="宋体" w:asciiTheme="minorEastAsia" w:hAnsiTheme="minorEastAsia"/>
          <w:color w:val="000000" w:themeColor="text1"/>
          <w:sz w:val="24"/>
          <w:szCs w:val="24"/>
          <w:lang w:val="en-US" w:eastAsia="zh-CN"/>
          <w14:textFill>
            <w14:solidFill>
              <w14:schemeClr w14:val="tx1"/>
            </w14:solidFill>
          </w14:textFill>
        </w:rPr>
        <w:t>踏勘</w:t>
      </w:r>
      <w:r>
        <w:rPr>
          <w:rFonts w:hint="eastAsia" w:ascii="宋体" w:hAnsi="宋体" w:eastAsia="宋体" w:cs="宋体"/>
          <w:bCs/>
          <w:sz w:val="24"/>
          <w:szCs w:val="24"/>
          <w:lang w:eastAsia="zh-CN"/>
        </w:rPr>
        <w:t>等</w:t>
      </w:r>
      <w:r>
        <w:rPr>
          <w:rFonts w:hint="eastAsia" w:ascii="宋体" w:hAnsi="宋体" w:eastAsia="宋体" w:cs="宋体"/>
          <w:b/>
          <w:bCs/>
          <w:sz w:val="24"/>
          <w:szCs w:val="24"/>
          <w:lang w:eastAsia="zh-CN"/>
        </w:rPr>
        <w:t>；</w:t>
      </w:r>
    </w:p>
    <w:p>
      <w:pPr>
        <w:keepNext w:val="0"/>
        <w:keepLines w:val="0"/>
        <w:pageBreakBefore w:val="0"/>
        <w:kinsoku/>
        <w:wordWrap/>
        <w:overflowPunct/>
        <w:topLinePunct w:val="0"/>
        <w:autoSpaceDE/>
        <w:autoSpaceDN/>
        <w:bidi w:val="0"/>
        <w:adjustRightInd/>
        <w:snapToGrid/>
        <w:spacing w:after="0" w:line="336" w:lineRule="auto"/>
        <w:ind w:firstLine="482" w:firstLineChars="200"/>
        <w:textAlignment w:val="auto"/>
        <w:rPr>
          <w:rFonts w:ascii="宋体" w:hAnsi="宋体" w:eastAsia="宋体" w:cs="宋体"/>
          <w:b/>
          <w:bCs/>
          <w:sz w:val="24"/>
          <w:szCs w:val="24"/>
          <w:lang w:eastAsia="zh-CN"/>
        </w:rPr>
      </w:pPr>
      <w:r>
        <w:rPr>
          <w:rFonts w:hint="eastAsia" w:ascii="宋体" w:hAnsi="宋体" w:eastAsia="宋体" w:cs="宋体"/>
          <w:b/>
          <w:bCs/>
          <w:sz w:val="24"/>
          <w:szCs w:val="24"/>
          <w:lang w:eastAsia="zh-CN"/>
        </w:rPr>
        <w:t>二、编制范围</w:t>
      </w:r>
    </w:p>
    <w:p>
      <w:pPr>
        <w:keepNext w:val="0"/>
        <w:keepLines w:val="0"/>
        <w:pageBreakBefore w:val="0"/>
        <w:widowControl w:val="0"/>
        <w:numPr>
          <w:ilvl w:val="0"/>
          <w:numId w:val="1"/>
        </w:numPr>
        <w:kinsoku/>
        <w:wordWrap/>
        <w:overflowPunct/>
        <w:topLinePunct w:val="0"/>
        <w:autoSpaceDE/>
        <w:autoSpaceDN/>
        <w:bidi w:val="0"/>
        <w:adjustRightInd/>
        <w:snapToGrid/>
        <w:spacing w:after="0" w:line="336" w:lineRule="auto"/>
        <w:ind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lang w:val="en-US" w:eastAsia="zh-CN"/>
        </w:rPr>
        <w:t>工训楼一楼新能源制造车间项目</w:t>
      </w:r>
      <w:r>
        <w:rPr>
          <w:rFonts w:hint="eastAsia" w:ascii="宋体" w:hAnsi="宋体" w:eastAsia="宋体" w:cs="宋体"/>
          <w:sz w:val="24"/>
          <w:szCs w:val="24"/>
          <w:lang w:eastAsia="zh-CN"/>
        </w:rPr>
        <w:t>包括：</w:t>
      </w:r>
      <w:r>
        <w:rPr>
          <w:rFonts w:hint="eastAsia" w:ascii="宋体" w:hAnsi="宋体" w:eastAsia="宋体" w:cs="宋体"/>
          <w:sz w:val="24"/>
          <w:szCs w:val="24"/>
          <w:lang w:val="en-US" w:eastAsia="zh-CN"/>
        </w:rPr>
        <w:t>拆除工程，土建工程，钢结构工程。</w:t>
      </w:r>
    </w:p>
    <w:p>
      <w:pPr>
        <w:keepNext w:val="0"/>
        <w:keepLines w:val="0"/>
        <w:pageBreakBefore w:val="0"/>
        <w:widowControl w:val="0"/>
        <w:numPr>
          <w:ilvl w:val="0"/>
          <w:numId w:val="1"/>
        </w:numPr>
        <w:kinsoku/>
        <w:wordWrap/>
        <w:overflowPunct/>
        <w:topLinePunct w:val="0"/>
        <w:autoSpaceDE/>
        <w:autoSpaceDN/>
        <w:bidi w:val="0"/>
        <w:adjustRightInd/>
        <w:snapToGrid/>
        <w:spacing w:after="0" w:line="336" w:lineRule="auto"/>
        <w:ind w:firstLine="480" w:firstLineChars="200"/>
        <w:textAlignment w:val="auto"/>
        <w:rPr>
          <w:rFonts w:ascii="宋体" w:hAnsi="宋体" w:eastAsia="宋体" w:cs="宋体"/>
          <w:sz w:val="24"/>
          <w:szCs w:val="24"/>
          <w:lang w:eastAsia="zh-CN"/>
        </w:rPr>
      </w:pPr>
      <w:r>
        <w:rPr>
          <w:rFonts w:hint="eastAsia" w:ascii="宋体" w:hAnsi="宋体" w:eastAsia="宋体" w:cs="宋体"/>
          <w:sz w:val="24"/>
          <w:szCs w:val="24"/>
          <w:lang w:eastAsia="zh-CN"/>
        </w:rPr>
        <w:t>除以上注明外，所有图纸范围内的内容为本次编标范围。</w:t>
      </w:r>
    </w:p>
    <w:p>
      <w:pPr>
        <w:keepNext w:val="0"/>
        <w:keepLines w:val="0"/>
        <w:pageBreakBefore w:val="0"/>
        <w:numPr>
          <w:ilvl w:val="0"/>
          <w:numId w:val="2"/>
        </w:numPr>
        <w:kinsoku/>
        <w:wordWrap/>
        <w:overflowPunct/>
        <w:topLinePunct w:val="0"/>
        <w:autoSpaceDE/>
        <w:autoSpaceDN/>
        <w:bidi w:val="0"/>
        <w:adjustRightInd/>
        <w:snapToGrid/>
        <w:spacing w:after="0" w:line="336" w:lineRule="auto"/>
        <w:ind w:firstLine="482" w:firstLineChars="200"/>
        <w:textAlignment w:val="auto"/>
        <w:rPr>
          <w:rFonts w:ascii="宋体" w:hAnsi="宋体" w:eastAsia="宋体" w:cs="宋体"/>
          <w:b/>
          <w:bCs/>
          <w:sz w:val="24"/>
          <w:szCs w:val="24"/>
          <w:lang w:eastAsia="zh-CN"/>
        </w:rPr>
      </w:pPr>
      <w:r>
        <w:rPr>
          <w:rFonts w:hint="eastAsia" w:ascii="宋体" w:hAnsi="宋体" w:eastAsia="宋体" w:cs="宋体"/>
          <w:b/>
          <w:bCs/>
          <w:sz w:val="24"/>
          <w:szCs w:val="24"/>
          <w:lang w:eastAsia="zh-CN"/>
        </w:rPr>
        <w:t>计价说明</w:t>
      </w:r>
    </w:p>
    <w:p>
      <w:pPr>
        <w:keepNext w:val="0"/>
        <w:keepLines w:val="0"/>
        <w:pageBreakBefore w:val="0"/>
        <w:widowControl/>
        <w:kinsoku/>
        <w:wordWrap/>
        <w:overflowPunct/>
        <w:topLinePunct w:val="0"/>
        <w:autoSpaceDE/>
        <w:autoSpaceDN/>
        <w:bidi w:val="0"/>
        <w:adjustRightInd/>
        <w:snapToGrid/>
        <w:spacing w:after="0" w:line="336" w:lineRule="auto"/>
        <w:ind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lang w:val="en-US" w:eastAsia="zh-CN"/>
        </w:rPr>
        <w:t>1</w:t>
      </w:r>
      <w:r>
        <w:rPr>
          <w:rFonts w:hint="eastAsia" w:ascii="宋体" w:hAnsi="宋体" w:eastAsia="宋体" w:cs="宋体"/>
          <w:sz w:val="24"/>
          <w:szCs w:val="24"/>
          <w:lang w:eastAsia="zh-CN"/>
        </w:rPr>
        <w:t>、本清单根据营改增后的编制规范，计税方式采用增值税一般计税模式编制。</w:t>
      </w:r>
    </w:p>
    <w:p>
      <w:pPr>
        <w:keepNext w:val="0"/>
        <w:keepLines w:val="0"/>
        <w:pageBreakBefore w:val="0"/>
        <w:widowControl/>
        <w:kinsoku/>
        <w:wordWrap/>
        <w:overflowPunct/>
        <w:topLinePunct w:val="0"/>
        <w:autoSpaceDE/>
        <w:autoSpaceDN/>
        <w:bidi w:val="0"/>
        <w:adjustRightInd/>
        <w:snapToGrid/>
        <w:spacing w:after="0" w:line="336" w:lineRule="auto"/>
        <w:ind w:firstLine="480" w:firstLineChars="200"/>
        <w:textAlignment w:val="auto"/>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2、本项目投标单位需结合施工图纸，认真踏勘现场，施工方案应与现场实际情况相结合，根据施工现场状况充分考虑全部工作内容、工作难度及工作方式进行报价。</w:t>
      </w:r>
    </w:p>
    <w:p>
      <w:pPr>
        <w:keepNext w:val="0"/>
        <w:keepLines w:val="0"/>
        <w:pageBreakBefore w:val="0"/>
        <w:widowControl/>
        <w:kinsoku/>
        <w:wordWrap/>
        <w:overflowPunct/>
        <w:topLinePunct w:val="0"/>
        <w:autoSpaceDE/>
        <w:autoSpaceDN/>
        <w:bidi w:val="0"/>
        <w:adjustRightInd/>
        <w:snapToGrid/>
        <w:spacing w:after="0" w:line="336"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本工程为改造项目，现场拆除及施工需充分考虑未拆除部分的成品保护，此费用包含在综合单价内，不再单独计取，如拆除过程中对需保留的结构部分造成破坏，则修补费用由投标单位承担，投标人投标报价时需充分考虑此因素进行报价。</w:t>
      </w:r>
    </w:p>
    <w:p>
      <w:pPr>
        <w:keepNext w:val="0"/>
        <w:keepLines w:val="0"/>
        <w:pageBreakBefore w:val="0"/>
        <w:widowControl/>
        <w:kinsoku/>
        <w:wordWrap/>
        <w:overflowPunct/>
        <w:topLinePunct w:val="0"/>
        <w:autoSpaceDE/>
        <w:autoSpaceDN/>
        <w:bidi w:val="0"/>
        <w:adjustRightInd/>
        <w:snapToGrid/>
        <w:spacing w:after="0" w:line="336" w:lineRule="auto"/>
        <w:ind w:firstLine="480" w:firstLineChars="200"/>
        <w:textAlignment w:val="auto"/>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4、本工程现状庭院拆除工作内容包括但不限于现状范围内景观亭拆除、道路及侧平石拆除、园路及植草砖拆除、相邻建筑上雨蓬拆除等一切费用,以满足施工需要；拆除方式（人机配合）自行考虑，拆料下地、清理,运至指定位置归堆后统一外运出场，运距及消纳由投标单位综合考虑在费用内；此项按项包干，投标人结合现场自行考虑报价，开挖时需充分考虑地下管线等因素,保护费用综合考虑在单价内，结算不再调整；</w:t>
      </w:r>
    </w:p>
    <w:p>
      <w:pPr>
        <w:keepNext w:val="0"/>
        <w:keepLines w:val="0"/>
        <w:pageBreakBefore w:val="0"/>
        <w:widowControl/>
        <w:kinsoku/>
        <w:wordWrap/>
        <w:overflowPunct/>
        <w:topLinePunct w:val="0"/>
        <w:autoSpaceDE/>
        <w:autoSpaceDN/>
        <w:bidi w:val="0"/>
        <w:adjustRightInd/>
        <w:snapToGrid/>
        <w:spacing w:after="0" w:line="336"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5、本工程庭院范围内可移动回收物品拆除及迁移工作内容包含但不限于庭院内现有盆栽苗木移植、可回收利用物品（如空调外机移位、景观座椅拆除移位）等，处理方式及移位地点满足甲方要求；此项按项包干，投标人自行考虑报价，结算不再调整。</w:t>
      </w:r>
    </w:p>
    <w:p>
      <w:pPr>
        <w:keepNext w:val="0"/>
        <w:keepLines w:val="0"/>
        <w:pageBreakBefore w:val="0"/>
        <w:widowControl/>
        <w:kinsoku/>
        <w:wordWrap/>
        <w:overflowPunct/>
        <w:topLinePunct w:val="0"/>
        <w:autoSpaceDE/>
        <w:autoSpaceDN/>
        <w:bidi w:val="0"/>
        <w:adjustRightInd/>
        <w:snapToGrid/>
        <w:spacing w:after="0" w:line="336"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6、土方工程：本工程土方土壤类别、开挖深度、场内短驳、外运方式、运距等均由施工单位自行考虑，符合主管部门建设工程扬尘防治实施细则要求；开挖时需充分考虑周边地下管线等因素影响,因此导致的人机配合及额外保护费用综合考虑在单价内，结算不另行签证；</w:t>
      </w:r>
    </w:p>
    <w:p>
      <w:pPr>
        <w:keepNext w:val="0"/>
        <w:keepLines w:val="0"/>
        <w:pageBreakBefore w:val="0"/>
        <w:widowControl/>
        <w:kinsoku/>
        <w:wordWrap/>
        <w:overflowPunct/>
        <w:topLinePunct w:val="0"/>
        <w:autoSpaceDE/>
        <w:autoSpaceDN/>
        <w:bidi w:val="0"/>
        <w:adjustRightInd/>
        <w:snapToGrid/>
        <w:spacing w:after="0" w:line="336" w:lineRule="auto"/>
        <w:ind w:firstLine="480" w:firstLineChars="200"/>
        <w:textAlignment w:val="auto"/>
        <w:rPr>
          <w:rFonts w:hint="eastAsia" w:cs="宋体" w:asciiTheme="minorEastAsia" w:hAnsiTheme="minorEastAsia"/>
          <w:color w:val="000000" w:themeColor="text1"/>
          <w:sz w:val="24"/>
          <w:lang w:val="en-US" w:eastAsia="zh-CN"/>
          <w14:textFill>
            <w14:solidFill>
              <w14:schemeClr w14:val="tx1"/>
            </w14:solidFill>
          </w14:textFill>
        </w:rPr>
      </w:pPr>
      <w:r>
        <w:rPr>
          <w:rFonts w:hint="eastAsia" w:ascii="宋体" w:hAnsi="宋体" w:eastAsia="宋体" w:cs="宋体"/>
          <w:sz w:val="24"/>
          <w:szCs w:val="24"/>
          <w:lang w:val="en-US" w:eastAsia="zh-CN"/>
        </w:rPr>
        <w:t>7、</w:t>
      </w:r>
      <w:r>
        <w:rPr>
          <w:rFonts w:hint="eastAsia" w:ascii="宋体" w:hAnsi="宋体" w:eastAsia="宋体" w:cs="宋体"/>
          <w:sz w:val="24"/>
          <w:szCs w:val="24"/>
          <w:lang w:eastAsia="zh-CN"/>
        </w:rPr>
        <w:t>根据常州市相关文件规定本工程所有砂浆（包括砌筑、粉刷等）</w:t>
      </w:r>
      <w:r>
        <w:rPr>
          <w:rFonts w:hint="eastAsia" w:ascii="宋体" w:hAnsi="宋体" w:eastAsia="宋体" w:cs="宋体"/>
          <w:sz w:val="24"/>
          <w:szCs w:val="24"/>
          <w:lang w:val="en-US" w:eastAsia="zh-CN"/>
        </w:rPr>
        <w:t>均</w:t>
      </w:r>
      <w:r>
        <w:rPr>
          <w:rFonts w:hint="eastAsia" w:ascii="宋体" w:hAnsi="宋体" w:eastAsia="宋体" w:cs="宋体"/>
          <w:sz w:val="24"/>
          <w:szCs w:val="24"/>
          <w:lang w:eastAsia="zh-CN"/>
        </w:rPr>
        <w:t>按预拌砂浆计算，混凝土按商品混凝土计算，二次结构采用非泵送。</w:t>
      </w:r>
    </w:p>
    <w:p>
      <w:pPr>
        <w:keepNext w:val="0"/>
        <w:keepLines w:val="0"/>
        <w:pageBreakBefore w:val="0"/>
        <w:widowControl/>
        <w:kinsoku/>
        <w:wordWrap/>
        <w:overflowPunct/>
        <w:topLinePunct w:val="0"/>
        <w:autoSpaceDE/>
        <w:autoSpaceDN/>
        <w:bidi w:val="0"/>
        <w:adjustRightInd/>
        <w:snapToGrid/>
        <w:spacing w:after="0" w:line="336" w:lineRule="auto"/>
        <w:ind w:firstLine="480" w:firstLineChars="200"/>
        <w:textAlignment w:val="auto"/>
        <w:rPr>
          <w:rFonts w:hint="eastAsia" w:cs="宋体" w:asciiTheme="minorEastAsia" w:hAnsiTheme="minorEastAsia"/>
          <w:color w:val="000000" w:themeColor="text1"/>
          <w:sz w:val="24"/>
          <w:lang w:val="en-US" w:eastAsia="zh-CN"/>
          <w14:textFill>
            <w14:solidFill>
              <w14:schemeClr w14:val="tx1"/>
            </w14:solidFill>
          </w14:textFill>
        </w:rPr>
      </w:pPr>
      <w:r>
        <w:rPr>
          <w:rFonts w:hint="eastAsia" w:cs="宋体" w:asciiTheme="minorEastAsia" w:hAnsiTheme="minorEastAsia"/>
          <w:color w:val="000000" w:themeColor="text1"/>
          <w:sz w:val="24"/>
          <w:lang w:val="en-US" w:eastAsia="zh-CN"/>
          <w14:textFill>
            <w14:solidFill>
              <w14:schemeClr w14:val="tx1"/>
            </w14:solidFill>
          </w14:textFill>
        </w:rPr>
        <w:t>8、加固工程新旧混凝土交界处处理方式参考图纸及规范要求，此项按项包干，投标人需充分考虑报价，结算不再调整。</w:t>
      </w:r>
      <w:bookmarkStart w:id="0" w:name="_GoBack"/>
      <w:bookmarkEnd w:id="0"/>
    </w:p>
    <w:p>
      <w:pPr>
        <w:keepNext w:val="0"/>
        <w:keepLines w:val="0"/>
        <w:pageBreakBefore w:val="0"/>
        <w:widowControl/>
        <w:kinsoku/>
        <w:wordWrap/>
        <w:overflowPunct/>
        <w:topLinePunct w:val="0"/>
        <w:autoSpaceDE/>
        <w:autoSpaceDN/>
        <w:bidi w:val="0"/>
        <w:adjustRightInd/>
        <w:snapToGrid/>
        <w:spacing w:after="0" w:line="336" w:lineRule="auto"/>
        <w:ind w:firstLine="480" w:firstLineChars="200"/>
        <w:textAlignment w:val="auto"/>
        <w:rPr>
          <w:rFonts w:hint="eastAsia" w:cs="宋体" w:asciiTheme="minorEastAsia" w:hAnsiTheme="minorEastAsia"/>
          <w:color w:val="000000" w:themeColor="text1"/>
          <w:sz w:val="24"/>
          <w:lang w:val="en-US" w:eastAsia="zh-CN"/>
          <w14:textFill>
            <w14:solidFill>
              <w14:schemeClr w14:val="tx1"/>
            </w14:solidFill>
          </w14:textFill>
        </w:rPr>
      </w:pPr>
      <w:r>
        <w:rPr>
          <w:rFonts w:hint="eastAsia" w:cs="宋体" w:asciiTheme="minorEastAsia" w:hAnsiTheme="minorEastAsia"/>
          <w:color w:val="000000" w:themeColor="text1"/>
          <w:sz w:val="24"/>
          <w:lang w:val="en-US" w:eastAsia="zh-CN"/>
          <w14:textFill>
            <w14:solidFill>
              <w14:schemeClr w14:val="tx1"/>
            </w14:solidFill>
          </w14:textFill>
        </w:rPr>
        <w:t>9、</w:t>
      </w:r>
      <w:r>
        <w:rPr>
          <w:rFonts w:hint="eastAsia" w:ascii="宋体" w:hAnsi="宋体" w:eastAsia="宋体" w:cs="宋体"/>
          <w:spacing w:val="-2"/>
          <w:sz w:val="24"/>
          <w:szCs w:val="24"/>
          <w:lang w:val="en-US" w:eastAsia="zh-CN"/>
        </w:rPr>
        <w:t>钢结构工程含制作、除锈、油漆、运输、安装、探伤及防火涂料等一切费用，相应吊装费用已包含在综合单价内；配套螺栓、螺帽（含高强螺栓）价格也已包含在相应综合单价内，投标人</w:t>
      </w:r>
      <w:r>
        <w:rPr>
          <w:rFonts w:hint="eastAsia" w:cs="宋体" w:asciiTheme="minorEastAsia" w:hAnsiTheme="minorEastAsia"/>
          <w:color w:val="000000" w:themeColor="text1"/>
          <w:sz w:val="24"/>
          <w:lang w:val="en-US" w:eastAsia="zh-CN"/>
          <w14:textFill>
            <w14:solidFill>
              <w14:schemeClr w14:val="tx1"/>
            </w14:solidFill>
          </w14:textFill>
        </w:rPr>
        <w:t>需充分考虑报价，结算不再调整。</w:t>
      </w:r>
    </w:p>
    <w:p>
      <w:pPr>
        <w:keepNext w:val="0"/>
        <w:keepLines w:val="0"/>
        <w:pageBreakBefore w:val="0"/>
        <w:widowControl/>
        <w:kinsoku/>
        <w:wordWrap/>
        <w:overflowPunct/>
        <w:topLinePunct w:val="0"/>
        <w:autoSpaceDE/>
        <w:autoSpaceDN/>
        <w:bidi w:val="0"/>
        <w:adjustRightInd/>
        <w:snapToGrid/>
        <w:spacing w:after="0" w:line="336" w:lineRule="auto"/>
        <w:ind w:firstLine="480" w:firstLineChars="200"/>
        <w:textAlignment w:val="auto"/>
        <w:rPr>
          <w:rFonts w:hint="eastAsia" w:cs="宋体" w:asciiTheme="minorEastAsia" w:hAnsiTheme="minorEastAsia"/>
          <w:color w:val="000000" w:themeColor="text1"/>
          <w:sz w:val="24"/>
          <w:lang w:val="en-US" w:eastAsia="zh-CN"/>
          <w14:textFill>
            <w14:solidFill>
              <w14:schemeClr w14:val="tx1"/>
            </w14:solidFill>
          </w14:textFill>
        </w:rPr>
      </w:pPr>
      <w:r>
        <w:rPr>
          <w:rFonts w:hint="eastAsia" w:cs="宋体" w:asciiTheme="minorEastAsia" w:hAnsiTheme="minorEastAsia"/>
          <w:color w:val="000000" w:themeColor="text1"/>
          <w:sz w:val="24"/>
          <w:lang w:val="en-US" w:eastAsia="zh-CN"/>
          <w14:textFill>
            <w14:solidFill>
              <w14:schemeClr w14:val="tx1"/>
            </w14:solidFill>
          </w14:textFill>
        </w:rPr>
        <w:t>10、本工程施工所需的钢管脚手由投标人根据现场情况综合考虑，此项按项包干，结算不再调整。</w:t>
      </w:r>
    </w:p>
    <w:p>
      <w:pPr>
        <w:keepNext w:val="0"/>
        <w:keepLines w:val="0"/>
        <w:pageBreakBefore w:val="0"/>
        <w:widowControl/>
        <w:kinsoku/>
        <w:wordWrap/>
        <w:overflowPunct/>
        <w:topLinePunct w:val="0"/>
        <w:autoSpaceDE/>
        <w:autoSpaceDN/>
        <w:bidi w:val="0"/>
        <w:adjustRightInd/>
        <w:snapToGrid/>
        <w:spacing w:after="0" w:line="336" w:lineRule="auto"/>
        <w:ind w:firstLine="480" w:firstLineChars="200"/>
        <w:textAlignment w:val="auto"/>
        <w:rPr>
          <w:rFonts w:hint="eastAsia" w:ascii="宋体" w:hAnsi="宋体" w:eastAsia="宋体" w:cs="宋体"/>
          <w:spacing w:val="-2"/>
          <w:sz w:val="24"/>
          <w:szCs w:val="24"/>
        </w:rPr>
      </w:pPr>
      <w:r>
        <w:rPr>
          <w:rFonts w:hint="eastAsia" w:cs="宋体" w:asciiTheme="minorEastAsia" w:hAnsiTheme="minorEastAsia"/>
          <w:color w:val="000000" w:themeColor="text1"/>
          <w:sz w:val="24"/>
          <w:lang w:val="en-US" w:eastAsia="zh-CN"/>
          <w14:textFill>
            <w14:solidFill>
              <w14:schemeClr w14:val="tx1"/>
            </w14:solidFill>
          </w14:textFill>
        </w:rPr>
        <w:t>11、</w:t>
      </w:r>
      <w:r>
        <w:rPr>
          <w:rFonts w:hint="eastAsia" w:ascii="宋体" w:hAnsi="宋体" w:eastAsia="宋体" w:cs="宋体"/>
          <w:spacing w:val="-2"/>
          <w:sz w:val="24"/>
          <w:szCs w:val="24"/>
        </w:rPr>
        <w:t>本工程施工所需水、电</w:t>
      </w:r>
      <w:r>
        <w:rPr>
          <w:rFonts w:hint="eastAsia" w:ascii="宋体" w:hAnsi="宋体" w:eastAsia="宋体" w:cs="宋体"/>
          <w:spacing w:val="-2"/>
          <w:sz w:val="24"/>
          <w:szCs w:val="24"/>
          <w:lang w:eastAsia="zh-CN"/>
        </w:rPr>
        <w:t>（</w:t>
      </w:r>
      <w:r>
        <w:rPr>
          <w:rFonts w:hint="eastAsia" w:ascii="宋体" w:hAnsi="宋体" w:eastAsia="宋体" w:cs="宋体"/>
          <w:spacing w:val="-2"/>
          <w:sz w:val="24"/>
          <w:szCs w:val="24"/>
          <w:lang w:val="en-US" w:eastAsia="zh-CN"/>
        </w:rPr>
        <w:t>含损耗</w:t>
      </w:r>
      <w:r>
        <w:rPr>
          <w:rFonts w:hint="eastAsia" w:ascii="宋体" w:hAnsi="宋体" w:eastAsia="宋体" w:cs="宋体"/>
          <w:spacing w:val="-2"/>
          <w:sz w:val="24"/>
          <w:szCs w:val="24"/>
          <w:lang w:eastAsia="zh-CN"/>
        </w:rPr>
        <w:t>）</w:t>
      </w:r>
      <w:r>
        <w:rPr>
          <w:rFonts w:hint="eastAsia" w:ascii="宋体" w:hAnsi="宋体" w:eastAsia="宋体" w:cs="宋体"/>
          <w:spacing w:val="-2"/>
          <w:sz w:val="24"/>
          <w:szCs w:val="24"/>
        </w:rPr>
        <w:t>等由承包人负责，相关费用在投标报价中考虑。</w:t>
      </w:r>
    </w:p>
    <w:p>
      <w:pPr>
        <w:keepNext w:val="0"/>
        <w:keepLines w:val="0"/>
        <w:pageBreakBefore w:val="0"/>
        <w:widowControl/>
        <w:numPr>
          <w:ilvl w:val="0"/>
          <w:numId w:val="0"/>
        </w:numPr>
        <w:kinsoku/>
        <w:wordWrap/>
        <w:overflowPunct/>
        <w:topLinePunct w:val="0"/>
        <w:autoSpaceDE/>
        <w:autoSpaceDN/>
        <w:bidi w:val="0"/>
        <w:adjustRightInd/>
        <w:snapToGrid/>
        <w:spacing w:after="0" w:line="336"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bidi="en-US"/>
        </w:rPr>
        <w:t>12、</w:t>
      </w:r>
      <w:r>
        <w:rPr>
          <w:rFonts w:hint="eastAsia" w:ascii="宋体" w:hAnsi="宋体" w:eastAsia="宋体" w:cs="宋体"/>
          <w:sz w:val="24"/>
          <w:szCs w:val="24"/>
          <w:lang w:val="en-US" w:eastAsia="zh-CN"/>
        </w:rPr>
        <w:t>施工现场使用大型机械型号及数量投标人视项目具体情况自行考虑报价，机械进场方式自行考虑，</w:t>
      </w:r>
      <w:r>
        <w:rPr>
          <w:rFonts w:hint="eastAsia" w:ascii="宋体" w:hAnsi="宋体" w:eastAsia="宋体" w:cs="宋体"/>
          <w:sz w:val="24"/>
          <w:szCs w:val="24"/>
          <w:lang w:val="en-US" w:eastAsia="zh-CN" w:bidi="en-US"/>
        </w:rPr>
        <w:t>投标人需充分考虑现有道路荷载等级，合理安排进场车辆载重，由此产生的费用已在综合单价内考虑，</w:t>
      </w:r>
      <w:r>
        <w:rPr>
          <w:rFonts w:hint="eastAsia" w:ascii="宋体" w:hAnsi="宋体" w:eastAsia="宋体" w:cs="宋体"/>
          <w:sz w:val="24"/>
          <w:szCs w:val="24"/>
          <w:lang w:val="en-US" w:eastAsia="zh-CN"/>
        </w:rPr>
        <w:t>结算不再调整。</w:t>
      </w:r>
    </w:p>
    <w:p>
      <w:pPr>
        <w:keepNext w:val="0"/>
        <w:keepLines w:val="0"/>
        <w:pageBreakBefore w:val="0"/>
        <w:widowControl/>
        <w:numPr>
          <w:ilvl w:val="0"/>
          <w:numId w:val="0"/>
        </w:numPr>
        <w:kinsoku/>
        <w:wordWrap/>
        <w:overflowPunct/>
        <w:topLinePunct w:val="0"/>
        <w:autoSpaceDE/>
        <w:autoSpaceDN/>
        <w:bidi w:val="0"/>
        <w:adjustRightInd/>
        <w:snapToGrid/>
        <w:spacing w:after="0" w:line="336" w:lineRule="auto"/>
        <w:ind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lang w:val="en-US" w:eastAsia="zh-CN" w:bidi="en-US"/>
        </w:rPr>
        <w:t>13、</w:t>
      </w:r>
      <w:r>
        <w:rPr>
          <w:rFonts w:hint="eastAsia" w:ascii="宋体" w:hAnsi="宋体" w:eastAsia="宋体" w:cs="宋体"/>
          <w:sz w:val="24"/>
          <w:szCs w:val="24"/>
          <w:lang w:eastAsia="zh-CN"/>
        </w:rPr>
        <w:t>清单做法描述与跟图纸描述一致，如清单描述与图纸不符以清单描述为准，编制说明未提及的参见设计图纸。</w:t>
      </w:r>
    </w:p>
    <w:p>
      <w:pPr>
        <w:keepNext w:val="0"/>
        <w:keepLines w:val="0"/>
        <w:pageBreakBefore w:val="0"/>
        <w:kinsoku/>
        <w:wordWrap/>
        <w:overflowPunct/>
        <w:topLinePunct w:val="0"/>
        <w:autoSpaceDE/>
        <w:autoSpaceDN/>
        <w:bidi w:val="0"/>
        <w:adjustRightInd/>
        <w:snapToGrid/>
        <w:spacing w:after="0" w:line="336" w:lineRule="auto"/>
        <w:ind w:firstLine="480" w:firstLineChars="200"/>
        <w:textAlignment w:val="auto"/>
        <w:rPr>
          <w:rFonts w:hint="eastAsia" w:ascii="宋体" w:hAnsi="宋体" w:eastAsia="宋体" w:cs="宋体"/>
          <w:sz w:val="24"/>
          <w:szCs w:val="24"/>
          <w:lang w:eastAsia="zh-CN"/>
        </w:rPr>
      </w:pPr>
    </w:p>
    <w:p>
      <w:pPr>
        <w:keepNext w:val="0"/>
        <w:keepLines w:val="0"/>
        <w:pageBreakBefore w:val="0"/>
        <w:kinsoku/>
        <w:wordWrap/>
        <w:overflowPunct/>
        <w:topLinePunct w:val="0"/>
        <w:autoSpaceDE/>
        <w:autoSpaceDN/>
        <w:bidi w:val="0"/>
        <w:adjustRightInd/>
        <w:snapToGrid/>
        <w:spacing w:after="0" w:line="336" w:lineRule="auto"/>
        <w:ind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 xml:space="preserve">         </w:t>
      </w:r>
    </w:p>
    <w:p>
      <w:pPr>
        <w:keepNext w:val="0"/>
        <w:keepLines w:val="0"/>
        <w:pageBreakBefore w:val="0"/>
        <w:kinsoku/>
        <w:wordWrap/>
        <w:overflowPunct/>
        <w:topLinePunct w:val="0"/>
        <w:autoSpaceDE/>
        <w:autoSpaceDN/>
        <w:bidi w:val="0"/>
        <w:adjustRightInd/>
        <w:snapToGrid/>
        <w:spacing w:after="0" w:line="336" w:lineRule="auto"/>
        <w:ind w:firstLine="480" w:firstLineChars="200"/>
        <w:textAlignment w:val="auto"/>
        <w:rPr>
          <w:rFonts w:hint="eastAsia" w:ascii="宋体" w:hAnsi="宋体" w:eastAsia="宋体" w:cs="宋体"/>
          <w:sz w:val="24"/>
          <w:szCs w:val="24"/>
          <w:lang w:eastAsia="zh-CN"/>
        </w:rPr>
      </w:pPr>
    </w:p>
    <w:p>
      <w:pPr>
        <w:keepNext w:val="0"/>
        <w:keepLines w:val="0"/>
        <w:pageBreakBefore w:val="0"/>
        <w:kinsoku/>
        <w:wordWrap/>
        <w:overflowPunct/>
        <w:topLinePunct w:val="0"/>
        <w:autoSpaceDE/>
        <w:autoSpaceDN/>
        <w:bidi w:val="0"/>
        <w:adjustRightInd/>
        <w:snapToGrid/>
        <w:spacing w:after="0" w:line="336" w:lineRule="auto"/>
        <w:jc w:val="right"/>
        <w:textAlignment w:val="auto"/>
        <w:rPr>
          <w:rFonts w:ascii="宋体" w:hAnsi="宋体" w:eastAsia="宋体" w:cs="宋体"/>
          <w:sz w:val="24"/>
          <w:szCs w:val="24"/>
          <w:lang w:eastAsia="zh-CN"/>
        </w:rPr>
      </w:pPr>
      <w:r>
        <w:rPr>
          <w:rFonts w:hint="eastAsia" w:ascii="宋体" w:hAnsi="宋体" w:eastAsia="宋体" w:cs="宋体"/>
          <w:sz w:val="24"/>
          <w:szCs w:val="24"/>
          <w:lang w:eastAsia="zh-CN"/>
        </w:rPr>
        <w:t>江苏春为全过程工程咨询有限公司</w:t>
      </w:r>
    </w:p>
    <w:p>
      <w:pPr>
        <w:keepNext w:val="0"/>
        <w:keepLines w:val="0"/>
        <w:pageBreakBefore w:val="0"/>
        <w:kinsoku/>
        <w:wordWrap/>
        <w:overflowPunct/>
        <w:topLinePunct w:val="0"/>
        <w:autoSpaceDE/>
        <w:autoSpaceDN/>
        <w:bidi w:val="0"/>
        <w:adjustRightInd/>
        <w:snapToGrid/>
        <w:spacing w:line="336" w:lineRule="auto"/>
        <w:ind w:firstLine="480" w:firstLineChars="200"/>
        <w:jc w:val="right"/>
        <w:textAlignment w:val="auto"/>
        <w:rPr>
          <w:rFonts w:hint="default" w:ascii="宋体" w:hAnsi="宋体" w:eastAsia="宋体" w:cs="宋体"/>
          <w:sz w:val="21"/>
          <w:szCs w:val="21"/>
          <w:lang w:val="en-US" w:eastAsia="zh-CN"/>
        </w:rPr>
      </w:pPr>
      <w:r>
        <w:rPr>
          <w:rFonts w:hint="eastAsia" w:ascii="宋体" w:hAnsi="宋体" w:eastAsia="宋体" w:cs="宋体"/>
          <w:sz w:val="24"/>
          <w:szCs w:val="24"/>
          <w:lang w:eastAsia="zh-CN"/>
        </w:rPr>
        <w:t>202</w:t>
      </w:r>
      <w:r>
        <w:rPr>
          <w:rFonts w:hint="eastAsia" w:ascii="宋体" w:hAnsi="宋体" w:eastAsia="宋体" w:cs="宋体"/>
          <w:sz w:val="24"/>
          <w:szCs w:val="24"/>
          <w:lang w:val="en-US" w:eastAsia="zh-CN"/>
        </w:rPr>
        <w:t>3</w:t>
      </w:r>
      <w:r>
        <w:rPr>
          <w:rFonts w:hint="eastAsia" w:ascii="宋体" w:hAnsi="宋体" w:eastAsia="宋体" w:cs="宋体"/>
          <w:sz w:val="24"/>
          <w:szCs w:val="24"/>
          <w:lang w:eastAsia="zh-CN"/>
        </w:rPr>
        <w:t>年</w:t>
      </w:r>
      <w:r>
        <w:rPr>
          <w:rFonts w:hint="eastAsia" w:ascii="宋体" w:hAnsi="宋体" w:eastAsia="宋体" w:cs="宋体"/>
          <w:sz w:val="24"/>
          <w:szCs w:val="24"/>
          <w:lang w:val="en-US" w:eastAsia="zh-CN"/>
        </w:rPr>
        <w:t>8</w:t>
      </w:r>
      <w:r>
        <w:rPr>
          <w:rFonts w:hint="eastAsia" w:ascii="宋体" w:hAnsi="宋体" w:eastAsia="宋体" w:cs="宋体"/>
          <w:sz w:val="24"/>
          <w:szCs w:val="24"/>
          <w:lang w:eastAsia="zh-CN"/>
        </w:rPr>
        <w:t>月</w:t>
      </w:r>
      <w:r>
        <w:rPr>
          <w:rFonts w:hint="eastAsia" w:ascii="宋体" w:hAnsi="宋体" w:eastAsia="宋体" w:cs="宋体"/>
          <w:sz w:val="24"/>
          <w:szCs w:val="24"/>
          <w:lang w:val="en-US" w:eastAsia="zh-CN"/>
        </w:rPr>
        <w:t>27</w:t>
      </w:r>
      <w:r>
        <w:rPr>
          <w:rFonts w:hint="eastAsia" w:ascii="宋体" w:hAnsi="宋体" w:eastAsia="宋体" w:cs="宋体"/>
          <w:sz w:val="24"/>
          <w:szCs w:val="24"/>
          <w:lang w:eastAsia="zh-CN"/>
        </w:rPr>
        <w:t>日</w:t>
      </w:r>
    </w:p>
    <w:sectPr>
      <w:pgSz w:w="12240" w:h="15840"/>
      <w:pgMar w:top="1440" w:right="1800" w:bottom="1440" w:left="180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
    <w:altName w:val="Times New Roman"/>
    <w:panose1 w:val="00000000000000000000"/>
    <w:charset w:val="00"/>
    <w:family w:val="roman"/>
    <w:pitch w:val="default"/>
    <w:sig w:usb0="00000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0C03618"/>
    <w:multiLevelType w:val="singleLevel"/>
    <w:tmpl w:val="D0C03618"/>
    <w:lvl w:ilvl="0" w:tentative="0">
      <w:start w:val="1"/>
      <w:numFmt w:val="decimal"/>
      <w:suff w:val="nothing"/>
      <w:lvlText w:val="%1、"/>
      <w:lvlJc w:val="left"/>
    </w:lvl>
  </w:abstractNum>
  <w:abstractNum w:abstractNumId="1">
    <w:nsid w:val="505A33F1"/>
    <w:multiLevelType w:val="singleLevel"/>
    <w:tmpl w:val="505A33F1"/>
    <w:lvl w:ilvl="0" w:tentative="0">
      <w:start w:val="3"/>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720"/>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BhYTlhMzkzNDQ0YTk1OGE4NzU3MzU1ZjNhNDI3OTAifQ=="/>
  </w:docVars>
  <w:rsids>
    <w:rsidRoot w:val="00A94AF2"/>
    <w:rsid w:val="000073F6"/>
    <w:rsid w:val="00073BD2"/>
    <w:rsid w:val="000767A6"/>
    <w:rsid w:val="000855F7"/>
    <w:rsid w:val="000D24C0"/>
    <w:rsid w:val="001730E8"/>
    <w:rsid w:val="00251178"/>
    <w:rsid w:val="00252919"/>
    <w:rsid w:val="002C6E56"/>
    <w:rsid w:val="002E0BAF"/>
    <w:rsid w:val="003A4982"/>
    <w:rsid w:val="0042159F"/>
    <w:rsid w:val="005548DE"/>
    <w:rsid w:val="0056337F"/>
    <w:rsid w:val="0058708A"/>
    <w:rsid w:val="005E5823"/>
    <w:rsid w:val="00667D55"/>
    <w:rsid w:val="00680756"/>
    <w:rsid w:val="006B4389"/>
    <w:rsid w:val="00734CBF"/>
    <w:rsid w:val="00753B42"/>
    <w:rsid w:val="007C249F"/>
    <w:rsid w:val="007C2FC6"/>
    <w:rsid w:val="007D148E"/>
    <w:rsid w:val="00842641"/>
    <w:rsid w:val="00856BA8"/>
    <w:rsid w:val="00873B16"/>
    <w:rsid w:val="00956EF8"/>
    <w:rsid w:val="009C4207"/>
    <w:rsid w:val="009D0C9F"/>
    <w:rsid w:val="00A02F19"/>
    <w:rsid w:val="00A43579"/>
    <w:rsid w:val="00A94AF2"/>
    <w:rsid w:val="00AB78C2"/>
    <w:rsid w:val="00AD452A"/>
    <w:rsid w:val="00AE7E1D"/>
    <w:rsid w:val="00B73CAF"/>
    <w:rsid w:val="00BA2A2B"/>
    <w:rsid w:val="00BB01C5"/>
    <w:rsid w:val="00BD3F44"/>
    <w:rsid w:val="00C31AC3"/>
    <w:rsid w:val="00C606D2"/>
    <w:rsid w:val="00C7177F"/>
    <w:rsid w:val="00C73F96"/>
    <w:rsid w:val="00C85869"/>
    <w:rsid w:val="00CA606C"/>
    <w:rsid w:val="00CC6AAE"/>
    <w:rsid w:val="00CD41EA"/>
    <w:rsid w:val="00D74911"/>
    <w:rsid w:val="00D807D2"/>
    <w:rsid w:val="00DA04F7"/>
    <w:rsid w:val="00E7148B"/>
    <w:rsid w:val="00E717AF"/>
    <w:rsid w:val="00EB2FCA"/>
    <w:rsid w:val="00EC7A1D"/>
    <w:rsid w:val="00ED0A5B"/>
    <w:rsid w:val="00ED38EF"/>
    <w:rsid w:val="00EE143E"/>
    <w:rsid w:val="00EF2714"/>
    <w:rsid w:val="00EF2858"/>
    <w:rsid w:val="00F23519"/>
    <w:rsid w:val="00F6706F"/>
    <w:rsid w:val="00F8450B"/>
    <w:rsid w:val="00F86FB8"/>
    <w:rsid w:val="00F87B9D"/>
    <w:rsid w:val="00FA082B"/>
    <w:rsid w:val="00FF186D"/>
    <w:rsid w:val="015977DF"/>
    <w:rsid w:val="01D57419"/>
    <w:rsid w:val="02B42B19"/>
    <w:rsid w:val="03376496"/>
    <w:rsid w:val="03C971DD"/>
    <w:rsid w:val="042E619E"/>
    <w:rsid w:val="057C6DFC"/>
    <w:rsid w:val="05EA0203"/>
    <w:rsid w:val="06401914"/>
    <w:rsid w:val="06A56E19"/>
    <w:rsid w:val="06C75943"/>
    <w:rsid w:val="07147E7E"/>
    <w:rsid w:val="07676144"/>
    <w:rsid w:val="07EE5001"/>
    <w:rsid w:val="080041F1"/>
    <w:rsid w:val="0828397E"/>
    <w:rsid w:val="08B17BE1"/>
    <w:rsid w:val="08CC43D4"/>
    <w:rsid w:val="08EB1917"/>
    <w:rsid w:val="0AB02757"/>
    <w:rsid w:val="0B1333FD"/>
    <w:rsid w:val="0BA91A53"/>
    <w:rsid w:val="0C986DF0"/>
    <w:rsid w:val="0C9B6067"/>
    <w:rsid w:val="0D82039B"/>
    <w:rsid w:val="0D834D30"/>
    <w:rsid w:val="0EA8381C"/>
    <w:rsid w:val="0EBF0C99"/>
    <w:rsid w:val="0ECA2618"/>
    <w:rsid w:val="0F05596B"/>
    <w:rsid w:val="0F817D4B"/>
    <w:rsid w:val="0FAD2024"/>
    <w:rsid w:val="106B3413"/>
    <w:rsid w:val="10932E47"/>
    <w:rsid w:val="110E41D1"/>
    <w:rsid w:val="11530ED3"/>
    <w:rsid w:val="11637C9E"/>
    <w:rsid w:val="11F8762A"/>
    <w:rsid w:val="1208477B"/>
    <w:rsid w:val="123C676E"/>
    <w:rsid w:val="12B215DA"/>
    <w:rsid w:val="12C02EFB"/>
    <w:rsid w:val="12DD0D85"/>
    <w:rsid w:val="14E64775"/>
    <w:rsid w:val="1533202D"/>
    <w:rsid w:val="15966DCD"/>
    <w:rsid w:val="17195AA4"/>
    <w:rsid w:val="1745197D"/>
    <w:rsid w:val="18D445F1"/>
    <w:rsid w:val="18F255D1"/>
    <w:rsid w:val="1A951111"/>
    <w:rsid w:val="1D391F96"/>
    <w:rsid w:val="1D704EEA"/>
    <w:rsid w:val="1F2C0062"/>
    <w:rsid w:val="1F5D4963"/>
    <w:rsid w:val="1F8C725E"/>
    <w:rsid w:val="1F9574C1"/>
    <w:rsid w:val="200E0129"/>
    <w:rsid w:val="20181A68"/>
    <w:rsid w:val="22283BB7"/>
    <w:rsid w:val="225A3C2E"/>
    <w:rsid w:val="233B220D"/>
    <w:rsid w:val="23A214E6"/>
    <w:rsid w:val="24856D70"/>
    <w:rsid w:val="252B307A"/>
    <w:rsid w:val="25823033"/>
    <w:rsid w:val="27B530C8"/>
    <w:rsid w:val="27CF626C"/>
    <w:rsid w:val="28D66637"/>
    <w:rsid w:val="28F801DE"/>
    <w:rsid w:val="2909094C"/>
    <w:rsid w:val="2A0F16FD"/>
    <w:rsid w:val="2A35670C"/>
    <w:rsid w:val="2B01728A"/>
    <w:rsid w:val="2B571DFE"/>
    <w:rsid w:val="2BFF3173"/>
    <w:rsid w:val="2D8643FD"/>
    <w:rsid w:val="2E9D7C7C"/>
    <w:rsid w:val="2FB51F51"/>
    <w:rsid w:val="2FCE596E"/>
    <w:rsid w:val="32B06603"/>
    <w:rsid w:val="32B874D4"/>
    <w:rsid w:val="34140EA1"/>
    <w:rsid w:val="34522576"/>
    <w:rsid w:val="352E4583"/>
    <w:rsid w:val="36A16354"/>
    <w:rsid w:val="36BA6CF1"/>
    <w:rsid w:val="380D24DA"/>
    <w:rsid w:val="382C39FF"/>
    <w:rsid w:val="383C4277"/>
    <w:rsid w:val="39034E9E"/>
    <w:rsid w:val="393A0076"/>
    <w:rsid w:val="3A8A7592"/>
    <w:rsid w:val="3ACD221B"/>
    <w:rsid w:val="3AD64535"/>
    <w:rsid w:val="3B5D45F3"/>
    <w:rsid w:val="3B924B2F"/>
    <w:rsid w:val="3BD87E54"/>
    <w:rsid w:val="3CD51F7D"/>
    <w:rsid w:val="3D6C3BC5"/>
    <w:rsid w:val="3D703CCB"/>
    <w:rsid w:val="3FC31E8D"/>
    <w:rsid w:val="40120762"/>
    <w:rsid w:val="41862790"/>
    <w:rsid w:val="41C2183E"/>
    <w:rsid w:val="41D45AE0"/>
    <w:rsid w:val="42095657"/>
    <w:rsid w:val="42DE203E"/>
    <w:rsid w:val="42E02C3B"/>
    <w:rsid w:val="43800524"/>
    <w:rsid w:val="465A098D"/>
    <w:rsid w:val="470D6339"/>
    <w:rsid w:val="47692C80"/>
    <w:rsid w:val="477B33F8"/>
    <w:rsid w:val="47FA44DC"/>
    <w:rsid w:val="4818602F"/>
    <w:rsid w:val="482E5725"/>
    <w:rsid w:val="48543392"/>
    <w:rsid w:val="48F17FF3"/>
    <w:rsid w:val="490229C0"/>
    <w:rsid w:val="493D1973"/>
    <w:rsid w:val="49412D7D"/>
    <w:rsid w:val="49C935B9"/>
    <w:rsid w:val="4CAD3651"/>
    <w:rsid w:val="4CCF2007"/>
    <w:rsid w:val="4D4633AB"/>
    <w:rsid w:val="4DBB5350"/>
    <w:rsid w:val="4E3E3858"/>
    <w:rsid w:val="4E7E4BB8"/>
    <w:rsid w:val="4F7E5DEB"/>
    <w:rsid w:val="4FA72F6D"/>
    <w:rsid w:val="4FA95EC1"/>
    <w:rsid w:val="4FDB6BF0"/>
    <w:rsid w:val="51697A3F"/>
    <w:rsid w:val="51FD7A54"/>
    <w:rsid w:val="52011060"/>
    <w:rsid w:val="52394B8B"/>
    <w:rsid w:val="52CE2C2C"/>
    <w:rsid w:val="55CE70C5"/>
    <w:rsid w:val="57190993"/>
    <w:rsid w:val="58040EA5"/>
    <w:rsid w:val="59C2071B"/>
    <w:rsid w:val="5A1A3DFD"/>
    <w:rsid w:val="5B227036"/>
    <w:rsid w:val="5CB57AE0"/>
    <w:rsid w:val="5CDF14F5"/>
    <w:rsid w:val="5D117556"/>
    <w:rsid w:val="5DDD041C"/>
    <w:rsid w:val="5E8A15B6"/>
    <w:rsid w:val="5F3B0181"/>
    <w:rsid w:val="5F3C6595"/>
    <w:rsid w:val="60F93553"/>
    <w:rsid w:val="630A4368"/>
    <w:rsid w:val="636B2EEA"/>
    <w:rsid w:val="638D0087"/>
    <w:rsid w:val="63E37B92"/>
    <w:rsid w:val="643E1C18"/>
    <w:rsid w:val="645E0196"/>
    <w:rsid w:val="64E54CCC"/>
    <w:rsid w:val="65577C74"/>
    <w:rsid w:val="66A54324"/>
    <w:rsid w:val="6831505D"/>
    <w:rsid w:val="683B6809"/>
    <w:rsid w:val="68FB664E"/>
    <w:rsid w:val="691D4CA4"/>
    <w:rsid w:val="6A0B72D8"/>
    <w:rsid w:val="6B50255D"/>
    <w:rsid w:val="6BD52B06"/>
    <w:rsid w:val="6BE209C2"/>
    <w:rsid w:val="6CCB0C93"/>
    <w:rsid w:val="6D322D3C"/>
    <w:rsid w:val="6E5D7E8B"/>
    <w:rsid w:val="6ED00B43"/>
    <w:rsid w:val="70E2131C"/>
    <w:rsid w:val="71127B9B"/>
    <w:rsid w:val="71620551"/>
    <w:rsid w:val="71A960AD"/>
    <w:rsid w:val="71CE2E3E"/>
    <w:rsid w:val="71E519FF"/>
    <w:rsid w:val="720F36E4"/>
    <w:rsid w:val="7258372B"/>
    <w:rsid w:val="726515CC"/>
    <w:rsid w:val="72904CB4"/>
    <w:rsid w:val="72D63BB7"/>
    <w:rsid w:val="73D770EB"/>
    <w:rsid w:val="74000221"/>
    <w:rsid w:val="75625B94"/>
    <w:rsid w:val="75F84586"/>
    <w:rsid w:val="7A0A07CC"/>
    <w:rsid w:val="7B0B1188"/>
    <w:rsid w:val="7B6C3157"/>
    <w:rsid w:val="7C293997"/>
    <w:rsid w:val="7C3A4586"/>
    <w:rsid w:val="7C3F5251"/>
    <w:rsid w:val="7C820D08"/>
    <w:rsid w:val="7CE97AA6"/>
    <w:rsid w:val="7D2E60D7"/>
    <w:rsid w:val="7D731BC6"/>
    <w:rsid w:val="7D7F5FF8"/>
    <w:rsid w:val="7DF36530"/>
    <w:rsid w:val="7EBA3727"/>
    <w:rsid w:val="7FA222F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HAnsi" w:cstheme="minorBidi"/>
      <w:sz w:val="22"/>
      <w:szCs w:val="22"/>
      <w:lang w:val="en-US" w:eastAsia="en-US" w:bidi="en-US"/>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4"/>
    <w:semiHidden/>
    <w:unhideWhenUsed/>
    <w:qFormat/>
    <w:uiPriority w:val="99"/>
    <w:pPr>
      <w:spacing w:after="0" w:line="240" w:lineRule="auto"/>
    </w:pPr>
    <w:rPr>
      <w:sz w:val="18"/>
      <w:szCs w:val="18"/>
    </w:rPr>
  </w:style>
  <w:style w:type="paragraph" w:styleId="3">
    <w:name w:val="footer"/>
    <w:basedOn w:val="1"/>
    <w:link w:val="10"/>
    <w:semiHidden/>
    <w:unhideWhenUsed/>
    <w:qFormat/>
    <w:uiPriority w:val="99"/>
    <w:pPr>
      <w:tabs>
        <w:tab w:val="center" w:pos="4153"/>
        <w:tab w:val="right" w:pos="8306"/>
      </w:tabs>
      <w:snapToGrid w:val="0"/>
      <w:spacing w:line="240" w:lineRule="auto"/>
    </w:pPr>
    <w:rPr>
      <w:sz w:val="18"/>
      <w:szCs w:val="18"/>
    </w:rPr>
  </w:style>
  <w:style w:type="paragraph" w:styleId="4">
    <w:name w:val="header"/>
    <w:basedOn w:val="1"/>
    <w:link w:val="9"/>
    <w:semiHidden/>
    <w:unhideWhenUsed/>
    <w:qFormat/>
    <w:uiPriority w:val="99"/>
    <w:pPr>
      <w:pBdr>
        <w:bottom w:val="single" w:color="auto" w:sz="6" w:space="1"/>
      </w:pBdr>
      <w:tabs>
        <w:tab w:val="center" w:pos="4153"/>
        <w:tab w:val="right" w:pos="8306"/>
      </w:tabs>
      <w:snapToGrid w:val="0"/>
      <w:spacing w:line="240" w:lineRule="auto"/>
      <w:jc w:val="center"/>
    </w:pPr>
    <w:rPr>
      <w:sz w:val="18"/>
      <w:szCs w:val="18"/>
    </w:rPr>
  </w:style>
  <w:style w:type="table" w:styleId="6">
    <w:name w:val="Table Grid"/>
    <w:basedOn w:val="5"/>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8">
    <w:name w:val="列出段落1"/>
    <w:basedOn w:val="1"/>
    <w:qFormat/>
    <w:uiPriority w:val="99"/>
    <w:pPr>
      <w:ind w:firstLine="420" w:firstLineChars="200"/>
    </w:pPr>
  </w:style>
  <w:style w:type="character" w:customStyle="1" w:styleId="9">
    <w:name w:val="页眉 Char"/>
    <w:basedOn w:val="7"/>
    <w:link w:val="4"/>
    <w:semiHidden/>
    <w:qFormat/>
    <w:uiPriority w:val="99"/>
    <w:rPr>
      <w:rFonts w:asciiTheme="minorHAnsi" w:hAnsiTheme="minorHAnsi" w:eastAsiaTheme="minorHAnsi" w:cstheme="minorBidi"/>
      <w:sz w:val="18"/>
      <w:szCs w:val="18"/>
      <w:lang w:eastAsia="en-US" w:bidi="en-US"/>
    </w:rPr>
  </w:style>
  <w:style w:type="character" w:customStyle="1" w:styleId="10">
    <w:name w:val="页脚 Char"/>
    <w:basedOn w:val="7"/>
    <w:link w:val="3"/>
    <w:semiHidden/>
    <w:qFormat/>
    <w:uiPriority w:val="99"/>
    <w:rPr>
      <w:rFonts w:asciiTheme="minorHAnsi" w:hAnsiTheme="minorHAnsi" w:eastAsiaTheme="minorHAnsi" w:cstheme="minorBidi"/>
      <w:sz w:val="18"/>
      <w:szCs w:val="18"/>
      <w:lang w:eastAsia="en-US" w:bidi="en-US"/>
    </w:rPr>
  </w:style>
  <w:style w:type="paragraph" w:styleId="11">
    <w:name w:val="List Paragraph"/>
    <w:basedOn w:val="1"/>
    <w:qFormat/>
    <w:uiPriority w:val="34"/>
    <w:pPr>
      <w:ind w:firstLine="420" w:firstLineChars="200"/>
    </w:pPr>
  </w:style>
  <w:style w:type="character" w:customStyle="1" w:styleId="12">
    <w:name w:val="font31"/>
    <w:basedOn w:val="7"/>
    <w:qFormat/>
    <w:uiPriority w:val="0"/>
    <w:rPr>
      <w:rFonts w:hint="eastAsia" w:ascii="宋体" w:hAnsi="宋体" w:eastAsia="宋体" w:cs="宋体"/>
      <w:color w:val="000000"/>
      <w:sz w:val="22"/>
      <w:szCs w:val="22"/>
      <w:u w:val="none"/>
    </w:rPr>
  </w:style>
  <w:style w:type="character" w:customStyle="1" w:styleId="13">
    <w:name w:val="font61"/>
    <w:basedOn w:val="7"/>
    <w:qFormat/>
    <w:uiPriority w:val="0"/>
    <w:rPr>
      <w:rFonts w:hint="eastAsia" w:ascii="宋体" w:hAnsi="宋体" w:eastAsia="宋体" w:cs="宋体"/>
      <w:color w:val="000000"/>
      <w:sz w:val="22"/>
      <w:szCs w:val="22"/>
      <w:u w:val="none"/>
    </w:rPr>
  </w:style>
  <w:style w:type="character" w:customStyle="1" w:styleId="14">
    <w:name w:val="批注框文本 Char"/>
    <w:basedOn w:val="7"/>
    <w:link w:val="2"/>
    <w:semiHidden/>
    <w:qFormat/>
    <w:uiPriority w:val="99"/>
    <w:rPr>
      <w:rFonts w:asciiTheme="minorHAnsi" w:hAnsiTheme="minorHAnsi" w:eastAsiaTheme="minorHAnsi" w:cstheme="minorBidi"/>
      <w:sz w:val="18"/>
      <w:szCs w:val="18"/>
      <w:lang w:eastAsia="en-US" w:bidi="en-US"/>
    </w:rPr>
  </w:style>
  <w:style w:type="character" w:customStyle="1" w:styleId="15">
    <w:name w:val="font21"/>
    <w:basedOn w:val="7"/>
    <w:qFormat/>
    <w:uiPriority w:val="0"/>
    <w:rPr>
      <w:rFonts w:hint="eastAsia" w:ascii="宋体" w:hAnsi="宋体" w:eastAsia="宋体" w:cs="宋体"/>
      <w:color w:val="000000"/>
      <w:sz w:val="22"/>
      <w:szCs w:val="22"/>
      <w:u w:val="none"/>
    </w:rPr>
  </w:style>
  <w:style w:type="character" w:customStyle="1" w:styleId="16">
    <w:name w:val="font11"/>
    <w:basedOn w:val="7"/>
    <w:qFormat/>
    <w:uiPriority w:val="0"/>
    <w:rPr>
      <w:rFonts w:hint="eastAsia" w:ascii="宋体" w:hAnsi="宋体" w:eastAsia="宋体" w:cs="宋体"/>
      <w:b/>
      <w:bCs/>
      <w:color w:val="000000"/>
      <w:sz w:val="18"/>
      <w:szCs w:val="18"/>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黑体"/>
        <a:cs typeface=""/>
        <a:font script="Jpan" typeface="MS P????"/>
        <a:font script="Hang" typeface="?? ??"/>
        <a:font script="Hans" typeface="??"/>
        <a:font script="Hant" typeface="????"/>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宋体"/>
        <a:cs typeface=""/>
        <a:font script="Jpan" typeface="MS P????"/>
        <a:font script="Hang" typeface="?? ??"/>
        <a:font script="Hans" typeface="??"/>
        <a:font script="Hant" typeface="????"/>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officegen</Company>
  <Pages>3</Pages>
  <Words>1572</Words>
  <Characters>1620</Characters>
  <Lines>41</Lines>
  <Paragraphs>11</Paragraphs>
  <TotalTime>4</TotalTime>
  <ScaleCrop>false</ScaleCrop>
  <LinksUpToDate>false</LinksUpToDate>
  <CharactersWithSpaces>1629</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2019-05-20T03:12:00Z</dcterms:created>
  <dc:creator>officegen</dc:creator>
  <cp:lastModifiedBy>流光</cp:lastModifiedBy>
  <cp:lastPrinted>2019-10-11T02:50:00Z</cp:lastPrinted>
  <dcterms:modified xsi:type="dcterms:W3CDTF">2023-09-25T09:17:51Z</dcterms:modified>
  <cp:revision>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823D2FB6D013481091DCE43C1C68E500_13</vt:lpwstr>
  </property>
</Properties>
</file>