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00" w:afterAutospacing="1" w:line="240" w:lineRule="auto"/>
        <w:ind w:firstLine="602" w:firstLineChars="200"/>
        <w:jc w:val="center"/>
        <w:rPr>
          <w:rFonts w:ascii="宋体" w:hAnsi="宋体" w:eastAsia="宋体" w:cs="宋体"/>
          <w:b/>
          <w:bCs/>
          <w:sz w:val="30"/>
          <w:szCs w:val="30"/>
          <w:lang w:eastAsia="zh-CN"/>
        </w:rPr>
      </w:pPr>
      <w:r>
        <w:rPr>
          <w:rFonts w:hint="eastAsia" w:ascii="宋体" w:hAnsi="宋体" w:eastAsia="宋体" w:cs="宋体"/>
          <w:b/>
          <w:bCs/>
          <w:sz w:val="30"/>
          <w:szCs w:val="30"/>
          <w:lang w:val="en-US" w:eastAsia="zh-CN"/>
        </w:rPr>
        <w:t>工训楼一楼新能源制造车间项目控制价</w:t>
      </w:r>
      <w:r>
        <w:rPr>
          <w:rFonts w:hint="eastAsia" w:ascii="宋体" w:hAnsi="宋体" w:eastAsia="宋体" w:cs="宋体"/>
          <w:b/>
          <w:bCs/>
          <w:sz w:val="30"/>
          <w:szCs w:val="30"/>
          <w:lang w:eastAsia="zh-CN"/>
        </w:rPr>
        <w:t>编制说明</w:t>
      </w:r>
    </w:p>
    <w:p>
      <w:pPr>
        <w:spacing w:after="0" w:line="360" w:lineRule="auto"/>
        <w:ind w:firstLine="482" w:firstLineChars="200"/>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一、编制依据</w:t>
      </w:r>
    </w:p>
    <w:p>
      <w:pPr>
        <w:spacing w:after="0" w:line="360" w:lineRule="auto"/>
        <w:ind w:firstLine="480" w:firstLineChars="200"/>
        <w:rPr>
          <w:rFonts w:ascii="宋体" w:hAnsi="宋体" w:eastAsia="宋体" w:cs="宋体"/>
          <w:bCs/>
          <w:sz w:val="24"/>
          <w:szCs w:val="24"/>
          <w:lang w:eastAsia="zh-CN"/>
        </w:rPr>
      </w:pPr>
      <w:r>
        <w:rPr>
          <w:rFonts w:hint="eastAsia" w:ascii="宋体" w:hAnsi="宋体" w:eastAsia="宋体" w:cs="宋体"/>
          <w:bCs/>
          <w:sz w:val="24"/>
          <w:szCs w:val="24"/>
          <w:lang w:eastAsia="zh-CN"/>
        </w:rPr>
        <w:t>1、《建设工程工程量清单计价规范》GB50500-2013、《江苏省建筑与装饰工程计价定额》（2014年）、《江苏省安装工程计价定额》（2014年）、《江苏省建设工程费用定额》（2014年）营改增后调整内容、常建（2016）94号文关于转发《省住房城乡建设厅关于建筑业实施营改增后江苏省建设工程计价依据调整的通知》的通知、苏建函价〔2018〕298号《省住房城乡建设厅关于建筑业增值税计价政策调整的通知》、常建[2019]1号关于贯彻《省住房城乡建设厅关于调整建设工程按质论价等费用计取方法的公告》的通知、苏建函价〔2019〕178号《省住房城乡建设厅关于调整建设工程计价增值税税率的通知》、《省住房城乡建设厅关于建筑工人实名制费用计取方法的公告》〔2019〕第19号；</w:t>
      </w:r>
    </w:p>
    <w:p>
      <w:pPr>
        <w:spacing w:after="0" w:line="360" w:lineRule="auto"/>
        <w:ind w:firstLine="480" w:firstLineChars="200"/>
        <w:rPr>
          <w:rFonts w:ascii="宋体" w:hAnsi="宋体" w:eastAsia="宋体" w:cs="宋体"/>
          <w:b/>
          <w:bCs/>
          <w:sz w:val="24"/>
          <w:szCs w:val="24"/>
          <w:lang w:eastAsia="zh-CN"/>
        </w:rPr>
      </w:pPr>
      <w:r>
        <w:rPr>
          <w:rFonts w:hint="eastAsia" w:ascii="宋体" w:hAnsi="宋体" w:eastAsia="宋体" w:cs="宋体"/>
          <w:bCs/>
          <w:sz w:val="24"/>
          <w:szCs w:val="24"/>
          <w:lang w:eastAsia="zh-CN"/>
        </w:rPr>
        <w:t>2、委托方提供的设计图纸、招标文件、</w:t>
      </w:r>
      <w:r>
        <w:rPr>
          <w:rFonts w:hint="eastAsia" w:ascii="宋体" w:hAnsi="宋体" w:eastAsia="宋体" w:cs="宋体"/>
          <w:bCs/>
          <w:sz w:val="24"/>
          <w:szCs w:val="24"/>
          <w:lang w:val="en-US" w:eastAsia="zh-CN"/>
        </w:rPr>
        <w:t>现场</w:t>
      </w:r>
      <w:r>
        <w:rPr>
          <w:rFonts w:hint="eastAsia" w:cs="宋体" w:asciiTheme="minorEastAsia" w:hAnsiTheme="minorEastAsia"/>
          <w:color w:val="000000" w:themeColor="text1"/>
          <w:sz w:val="24"/>
          <w:szCs w:val="24"/>
          <w:lang w:val="en-US" w:eastAsia="zh-CN"/>
          <w14:textFill>
            <w14:solidFill>
              <w14:schemeClr w14:val="tx1"/>
            </w14:solidFill>
          </w14:textFill>
        </w:rPr>
        <w:t>踏勘</w:t>
      </w:r>
      <w:r>
        <w:rPr>
          <w:rFonts w:hint="eastAsia" w:ascii="宋体" w:hAnsi="宋体" w:eastAsia="宋体" w:cs="宋体"/>
          <w:bCs/>
          <w:sz w:val="24"/>
          <w:szCs w:val="24"/>
          <w:lang w:eastAsia="zh-CN"/>
        </w:rPr>
        <w:t>等</w:t>
      </w:r>
      <w:r>
        <w:rPr>
          <w:rFonts w:hint="eastAsia" w:ascii="宋体" w:hAnsi="宋体" w:eastAsia="宋体" w:cs="宋体"/>
          <w:b/>
          <w:bCs/>
          <w:sz w:val="24"/>
          <w:szCs w:val="24"/>
          <w:lang w:eastAsia="zh-CN"/>
        </w:rPr>
        <w:t>；</w:t>
      </w:r>
    </w:p>
    <w:p>
      <w:pPr>
        <w:spacing w:after="0" w:line="360" w:lineRule="auto"/>
        <w:ind w:firstLine="482" w:firstLineChars="200"/>
        <w:rPr>
          <w:rFonts w:ascii="宋体" w:hAnsi="宋体" w:eastAsia="宋体" w:cs="宋体"/>
          <w:b/>
          <w:bCs/>
          <w:sz w:val="24"/>
          <w:szCs w:val="24"/>
          <w:lang w:eastAsia="zh-CN"/>
        </w:rPr>
      </w:pPr>
      <w:r>
        <w:rPr>
          <w:rFonts w:hint="eastAsia" w:ascii="宋体" w:hAnsi="宋体" w:eastAsia="宋体" w:cs="宋体"/>
          <w:b/>
          <w:bCs/>
          <w:sz w:val="24"/>
          <w:szCs w:val="24"/>
          <w:lang w:eastAsia="zh-CN"/>
        </w:rPr>
        <w:t>二、编制范围</w:t>
      </w:r>
    </w:p>
    <w:p>
      <w:pPr>
        <w:widowControl w:val="0"/>
        <w:numPr>
          <w:ilvl w:val="0"/>
          <w:numId w:val="1"/>
        </w:numPr>
        <w:spacing w:after="0"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工训楼一楼新能源制造车间项目</w:t>
      </w:r>
      <w:r>
        <w:rPr>
          <w:rFonts w:hint="eastAsia" w:ascii="宋体" w:hAnsi="宋体" w:eastAsia="宋体" w:cs="宋体"/>
          <w:sz w:val="24"/>
          <w:szCs w:val="24"/>
          <w:lang w:eastAsia="zh-CN"/>
        </w:rPr>
        <w:t>包括：</w:t>
      </w:r>
      <w:r>
        <w:rPr>
          <w:rFonts w:hint="eastAsia" w:ascii="宋体" w:hAnsi="宋体" w:eastAsia="宋体" w:cs="宋体"/>
          <w:sz w:val="24"/>
          <w:szCs w:val="24"/>
          <w:lang w:val="en-US" w:eastAsia="zh-CN"/>
        </w:rPr>
        <w:t>拆除工程，土建工程，钢结构工程。</w:t>
      </w:r>
    </w:p>
    <w:p>
      <w:pPr>
        <w:widowControl w:val="0"/>
        <w:numPr>
          <w:ilvl w:val="0"/>
          <w:numId w:val="1"/>
        </w:numPr>
        <w:spacing w:after="0"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除以上注明外，所有图纸范围内的内容为本次编标范围。</w:t>
      </w:r>
    </w:p>
    <w:p>
      <w:pPr>
        <w:numPr>
          <w:ilvl w:val="0"/>
          <w:numId w:val="2"/>
        </w:numPr>
        <w:spacing w:after="0" w:line="360" w:lineRule="auto"/>
        <w:ind w:firstLine="482" w:firstLineChars="200"/>
        <w:rPr>
          <w:rFonts w:ascii="宋体" w:hAnsi="宋体" w:eastAsia="宋体" w:cs="宋体"/>
          <w:b/>
          <w:bCs/>
          <w:sz w:val="24"/>
          <w:szCs w:val="24"/>
          <w:lang w:eastAsia="zh-CN"/>
        </w:rPr>
      </w:pPr>
      <w:r>
        <w:rPr>
          <w:rFonts w:hint="eastAsia" w:ascii="宋体" w:hAnsi="宋体" w:eastAsia="宋体" w:cs="宋体"/>
          <w:b/>
          <w:bCs/>
          <w:sz w:val="24"/>
          <w:szCs w:val="24"/>
          <w:lang w:eastAsia="zh-CN"/>
        </w:rPr>
        <w:t>计价说明</w:t>
      </w:r>
    </w:p>
    <w:p>
      <w:pPr>
        <w:keepNext w:val="0"/>
        <w:keepLines w:val="0"/>
        <w:pageBreakBefore w:val="0"/>
        <w:widowControl/>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1、工程类别：</w:t>
      </w:r>
      <w:r>
        <w:rPr>
          <w:rFonts w:hint="eastAsia" w:ascii="宋体" w:hAnsi="宋体" w:eastAsia="宋体" w:cs="宋体"/>
          <w:sz w:val="24"/>
          <w:szCs w:val="24"/>
          <w:lang w:val="en-US" w:eastAsia="zh-CN"/>
        </w:rPr>
        <w:t>土建三类工程</w:t>
      </w:r>
      <w:r>
        <w:rPr>
          <w:rFonts w:hint="eastAsia" w:ascii="宋体" w:hAnsi="宋体" w:eastAsia="宋体" w:cs="宋体"/>
          <w:sz w:val="24"/>
          <w:szCs w:val="24"/>
          <w:lang w:eastAsia="zh-CN"/>
        </w:rPr>
        <w:t>。</w:t>
      </w:r>
    </w:p>
    <w:p>
      <w:pPr>
        <w:keepNext w:val="0"/>
        <w:keepLines w:val="0"/>
        <w:pageBreakBefore w:val="0"/>
        <w:widowControl/>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2、本清单根据营改增后的编制规范，计税方式采用增值税一般计税模式编制。</w:t>
      </w:r>
    </w:p>
    <w:p>
      <w:pPr>
        <w:keepNext w:val="0"/>
        <w:keepLines w:val="0"/>
        <w:pageBreakBefore w:val="0"/>
        <w:widowControl/>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3、人、材、机单价计取说明：人工单价按苏建函价</w:t>
      </w:r>
      <w:r>
        <w:rPr>
          <w:rFonts w:hint="eastAsia" w:ascii="宋体" w:hAnsi="宋体" w:eastAsia="宋体" w:cs="宋体"/>
          <w:spacing w:val="-2"/>
          <w:sz w:val="24"/>
          <w:szCs w:val="24"/>
        </w:rPr>
        <w:t>[202</w:t>
      </w:r>
      <w:r>
        <w:rPr>
          <w:rFonts w:hint="eastAsia" w:ascii="宋体" w:hAnsi="宋体" w:eastAsia="宋体" w:cs="宋体"/>
          <w:spacing w:val="-2"/>
          <w:sz w:val="24"/>
          <w:szCs w:val="24"/>
          <w:lang w:val="en-US" w:eastAsia="zh-CN"/>
        </w:rPr>
        <w:t>3</w:t>
      </w:r>
      <w:r>
        <w:rPr>
          <w:rFonts w:hint="eastAsia" w:ascii="宋体" w:hAnsi="宋体" w:eastAsia="宋体" w:cs="宋体"/>
          <w:spacing w:val="-2"/>
          <w:sz w:val="24"/>
          <w:szCs w:val="24"/>
        </w:rPr>
        <w:t>]6</w:t>
      </w:r>
      <w:r>
        <w:rPr>
          <w:rFonts w:hint="eastAsia" w:ascii="宋体" w:hAnsi="宋体" w:eastAsia="宋体" w:cs="宋体"/>
          <w:spacing w:val="-2"/>
          <w:sz w:val="24"/>
          <w:szCs w:val="24"/>
          <w:lang w:val="en-US" w:eastAsia="zh-CN"/>
        </w:rPr>
        <w:t>3</w:t>
      </w:r>
      <w:r>
        <w:rPr>
          <w:rFonts w:hint="eastAsia" w:ascii="宋体" w:hAnsi="宋体" w:eastAsia="宋体" w:cs="宋体"/>
          <w:spacing w:val="-2"/>
          <w:sz w:val="24"/>
          <w:szCs w:val="24"/>
        </w:rPr>
        <w:t>号文《省住房和城乡建设厅关于发布建设工程人工工资指导价的通知》执行</w:t>
      </w:r>
      <w:r>
        <w:rPr>
          <w:rFonts w:hint="eastAsia" w:ascii="宋体" w:hAnsi="宋体" w:eastAsia="宋体" w:cs="宋体"/>
          <w:sz w:val="24"/>
          <w:szCs w:val="24"/>
          <w:lang w:eastAsia="zh-CN"/>
        </w:rPr>
        <w:t>，主要材料价格按常州地区202</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年</w:t>
      </w:r>
      <w:r>
        <w:rPr>
          <w:rFonts w:hint="eastAsia" w:ascii="宋体" w:hAnsi="宋体" w:eastAsia="宋体" w:cs="宋体"/>
          <w:sz w:val="24"/>
          <w:szCs w:val="24"/>
          <w:lang w:val="en-US" w:eastAsia="zh-CN"/>
        </w:rPr>
        <w:t>8</w:t>
      </w:r>
      <w:r>
        <w:rPr>
          <w:rFonts w:hint="eastAsia" w:ascii="宋体" w:hAnsi="宋体" w:eastAsia="宋体" w:cs="宋体"/>
          <w:sz w:val="24"/>
          <w:szCs w:val="24"/>
          <w:lang w:eastAsia="zh-CN"/>
        </w:rPr>
        <w:t>月份信息价编制，</w:t>
      </w:r>
      <w:r>
        <w:rPr>
          <w:rFonts w:hint="eastAsia" w:ascii="宋体" w:hAnsi="宋体" w:eastAsia="宋体" w:cs="宋体"/>
          <w:sz w:val="24"/>
          <w:szCs w:val="24"/>
          <w:lang w:val="en-US" w:eastAsia="zh-CN"/>
        </w:rPr>
        <w:t>8</w:t>
      </w:r>
      <w:r>
        <w:rPr>
          <w:rFonts w:hint="eastAsia" w:ascii="宋体" w:hAnsi="宋体" w:eastAsia="宋体" w:cs="宋体"/>
          <w:sz w:val="24"/>
          <w:szCs w:val="24"/>
          <w:lang w:eastAsia="zh-CN"/>
        </w:rPr>
        <w:t>月份没有的按月向前推，信息价没有的按市场价计入。</w:t>
      </w:r>
    </w:p>
    <w:p>
      <w:pPr>
        <w:keepNext w:val="0"/>
        <w:keepLines w:val="0"/>
        <w:pageBreakBefore w:val="0"/>
        <w:widowControl/>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现状庭院内拆除工程按场内所有道路及园路全部拆除考虑，工程量按实暂估，相邻楼栋上凸出建筑物外立面构件若影响施工需进行拆除的，工程量亦包含在内（如砼雨蓬、门厅处钢结构雨蓬等），拆除垃圾全部外运出场（运距按10km考虑）。</w:t>
      </w:r>
    </w:p>
    <w:p>
      <w:pPr>
        <w:keepNext w:val="0"/>
        <w:keepLines w:val="0"/>
        <w:pageBreakBefore w:val="0"/>
        <w:widowControl/>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5、现状可回收利用物件迁移项工作内容按甲方需要回收物件考虑：包括现有盆栽苗木移植、空调外机移位、景观座椅拆除移位等，处理方式及移位地点满足甲方要求。</w:t>
      </w:r>
    </w:p>
    <w:p>
      <w:pPr>
        <w:keepNext w:val="0"/>
        <w:keepLines w:val="0"/>
        <w:pageBreakBefore w:val="0"/>
        <w:widowControl/>
        <w:kinsoku/>
        <w:wordWrap/>
        <w:overflowPunct/>
        <w:topLinePunct w:val="0"/>
        <w:autoSpaceDE/>
        <w:autoSpaceDN/>
        <w:bidi w:val="0"/>
        <w:adjustRightInd/>
        <w:snapToGrid/>
        <w:spacing w:after="0"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6、新增牛腿与原房屋结构交接处涂料及抹灰层铲除工程量暂估，结算按实计取。</w:t>
      </w:r>
    </w:p>
    <w:p>
      <w:pPr>
        <w:keepNext w:val="0"/>
        <w:keepLines w:val="0"/>
        <w:pageBreakBefore w:val="0"/>
        <w:widowControl/>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7、本工程所有土方按全部外运出场考虑，挖土机械按反铲挖掘机（斗容量1m3）考虑，运距按10km考虑；土方回填按外购土回填，运距按10km考虑，压实平整按人机配合考虑（其中人工回填40%，机械回填60%）。</w:t>
      </w:r>
    </w:p>
    <w:p>
      <w:pPr>
        <w:keepNext w:val="0"/>
        <w:keepLines w:val="0"/>
        <w:pageBreakBefore w:val="0"/>
        <w:widowControl/>
        <w:kinsoku/>
        <w:wordWrap/>
        <w:overflowPunct/>
        <w:topLinePunct w:val="0"/>
        <w:autoSpaceDE/>
        <w:autoSpaceDN/>
        <w:bidi w:val="0"/>
        <w:adjustRightInd/>
        <w:snapToGrid/>
        <w:spacing w:after="0" w:line="360" w:lineRule="auto"/>
        <w:ind w:firstLine="472" w:firstLineChars="200"/>
        <w:textAlignment w:val="auto"/>
        <w:rPr>
          <w:rFonts w:hint="eastAsia" w:cs="宋体" w:asciiTheme="minorEastAsia" w:hAnsiTheme="minorEastAsia"/>
          <w:color w:val="000000" w:themeColor="text1"/>
          <w:sz w:val="24"/>
          <w:lang w:val="en-US" w:eastAsia="zh-CN"/>
          <w14:textFill>
            <w14:solidFill>
              <w14:schemeClr w14:val="tx1"/>
            </w14:solidFill>
          </w14:textFill>
        </w:rPr>
      </w:pPr>
      <w:r>
        <w:rPr>
          <w:rFonts w:hint="eastAsia" w:ascii="宋体" w:hAnsi="宋体" w:eastAsia="宋体" w:cs="宋体"/>
          <w:spacing w:val="-2"/>
          <w:sz w:val="24"/>
          <w:szCs w:val="24"/>
          <w:lang w:val="en-US" w:eastAsia="zh-CN"/>
        </w:rPr>
        <w:t>7、</w:t>
      </w:r>
      <w:r>
        <w:rPr>
          <w:rFonts w:hint="eastAsia" w:ascii="宋体" w:hAnsi="宋体" w:eastAsia="宋体" w:cs="宋体"/>
          <w:sz w:val="24"/>
          <w:szCs w:val="24"/>
          <w:lang w:eastAsia="zh-CN"/>
        </w:rPr>
        <w:t>根据常州市相关文件规定本工程所有砂浆（包括砌筑、粉刷、楼地面、屋面等）按预拌砂浆计算，混凝土按商品混凝土计算，二次结构采用非泵送。</w:t>
      </w:r>
    </w:p>
    <w:p>
      <w:pPr>
        <w:keepNext w:val="0"/>
        <w:keepLines w:val="0"/>
        <w:pageBreakBefore w:val="0"/>
        <w:widowControl/>
        <w:kinsoku/>
        <w:wordWrap/>
        <w:overflowPunct/>
        <w:topLinePunct w:val="0"/>
        <w:autoSpaceDE/>
        <w:autoSpaceDN/>
        <w:bidi w:val="0"/>
        <w:adjustRightInd/>
        <w:snapToGrid/>
        <w:spacing w:after="0" w:line="360" w:lineRule="auto"/>
        <w:ind w:firstLine="472" w:firstLineChars="200"/>
        <w:textAlignment w:val="auto"/>
        <w:rPr>
          <w:rFonts w:hint="eastAsia" w:cs="宋体" w:asciiTheme="minorEastAsia" w:hAnsiTheme="minorEastAsia"/>
          <w:color w:val="000000" w:themeColor="text1"/>
          <w:sz w:val="24"/>
          <w:lang w:val="en-US" w:eastAsia="zh-CN"/>
          <w14:textFill>
            <w14:solidFill>
              <w14:schemeClr w14:val="tx1"/>
            </w14:solidFill>
          </w14:textFill>
        </w:rPr>
      </w:pPr>
      <w:r>
        <w:rPr>
          <w:rFonts w:hint="eastAsia" w:ascii="宋体" w:hAnsi="宋体" w:eastAsia="宋体" w:cs="宋体"/>
          <w:spacing w:val="-2"/>
          <w:sz w:val="24"/>
          <w:szCs w:val="24"/>
          <w:lang w:val="en-US" w:eastAsia="zh-CN"/>
        </w:rPr>
        <w:t>8、</w:t>
      </w:r>
      <w:r>
        <w:rPr>
          <w:rFonts w:hint="eastAsia" w:cs="宋体" w:asciiTheme="minorEastAsia" w:hAnsiTheme="minorEastAsia"/>
          <w:color w:val="000000" w:themeColor="text1"/>
          <w:sz w:val="24"/>
          <w:lang w:val="en-US" w:eastAsia="zh-CN"/>
          <w14:textFill>
            <w14:solidFill>
              <w14:schemeClr w14:val="tx1"/>
            </w14:solidFill>
          </w14:textFill>
        </w:rPr>
        <w:t>本工程砖基础按照MU20混凝土普通砖，Ms10水泥砂浆砌筑考虑。</w:t>
      </w:r>
    </w:p>
    <w:p>
      <w:pPr>
        <w:keepNext w:val="0"/>
        <w:keepLines w:val="0"/>
        <w:pageBreakBefore w:val="0"/>
        <w:widowControl/>
        <w:kinsoku/>
        <w:wordWrap/>
        <w:overflowPunct/>
        <w:topLinePunct w:val="0"/>
        <w:autoSpaceDE/>
        <w:autoSpaceDN/>
        <w:bidi w:val="0"/>
        <w:adjustRightInd/>
        <w:snapToGrid/>
        <w:spacing w:after="0" w:line="360" w:lineRule="auto"/>
        <w:ind w:firstLine="472" w:firstLineChars="200"/>
        <w:textAlignment w:val="auto"/>
        <w:rPr>
          <w:rFonts w:hint="default" w:ascii="宋体" w:hAnsi="宋体" w:eastAsia="宋体" w:cs="宋体"/>
          <w:spacing w:val="-2"/>
          <w:sz w:val="24"/>
          <w:szCs w:val="24"/>
          <w:lang w:val="en-US" w:eastAsia="zh-CN"/>
        </w:rPr>
      </w:pPr>
      <w:r>
        <w:rPr>
          <w:rFonts w:hint="eastAsia" w:ascii="宋体" w:hAnsi="宋体" w:eastAsia="宋体" w:cs="宋体"/>
          <w:spacing w:val="-2"/>
          <w:sz w:val="24"/>
          <w:szCs w:val="24"/>
          <w:lang w:val="en-US" w:eastAsia="zh-CN"/>
        </w:rPr>
        <w:t>9、本工程模板工程量按混凝土与模板实际接触面积计算。</w:t>
      </w:r>
    </w:p>
    <w:p>
      <w:pPr>
        <w:keepNext w:val="0"/>
        <w:keepLines w:val="0"/>
        <w:pageBreakBefore w:val="0"/>
        <w:widowControl/>
        <w:kinsoku/>
        <w:wordWrap/>
        <w:overflowPunct/>
        <w:topLinePunct w:val="0"/>
        <w:autoSpaceDE/>
        <w:autoSpaceDN/>
        <w:bidi w:val="0"/>
        <w:adjustRightInd/>
        <w:snapToGrid/>
        <w:spacing w:after="0" w:line="360" w:lineRule="auto"/>
        <w:ind w:firstLine="472" w:firstLineChars="200"/>
        <w:textAlignment w:val="auto"/>
        <w:rPr>
          <w:rFonts w:ascii="宋体" w:hAnsi="宋体" w:eastAsia="宋体" w:cs="宋体"/>
          <w:sz w:val="24"/>
          <w:szCs w:val="24"/>
          <w:lang w:eastAsia="zh-CN"/>
        </w:rPr>
      </w:pPr>
      <w:r>
        <w:rPr>
          <w:rFonts w:hint="eastAsia" w:ascii="宋体" w:hAnsi="宋体" w:eastAsia="宋体" w:cs="宋体"/>
          <w:spacing w:val="-2"/>
          <w:sz w:val="24"/>
          <w:szCs w:val="24"/>
          <w:lang w:val="en-US" w:eastAsia="zh-CN"/>
        </w:rPr>
        <w:t>10、本工程施工用大型机械考虑1台履带式挖掘机（1M3以内)，1台履带式推土机（90KW以外），钢结构吊装考虑1台20t汽车吊。</w:t>
      </w:r>
    </w:p>
    <w:p>
      <w:pPr>
        <w:spacing w:after="0"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val="en-US" w:eastAsia="zh-CN"/>
        </w:rPr>
        <w:t>11</w:t>
      </w:r>
      <w:r>
        <w:rPr>
          <w:rFonts w:hint="eastAsia" w:ascii="宋体" w:hAnsi="宋体" w:eastAsia="宋体" w:cs="宋体"/>
          <w:sz w:val="24"/>
          <w:szCs w:val="24"/>
          <w:lang w:eastAsia="zh-CN"/>
        </w:rPr>
        <w:t>、总价措施项目清单与计价表说明</w:t>
      </w:r>
    </w:p>
    <w:p>
      <w:pPr>
        <w:spacing w:after="0"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（1）、措施项目中总价项目费率取值详见下表</w:t>
      </w:r>
    </w:p>
    <w:tbl>
      <w:tblPr>
        <w:tblStyle w:val="5"/>
        <w:tblW w:w="8648" w:type="dxa"/>
        <w:tblInd w:w="0" w:type="dxa"/>
        <w:tblLayout w:type="fixed"/>
        <w:tblCellMar>
          <w:top w:w="0" w:type="dxa"/>
          <w:left w:w="0" w:type="dxa"/>
          <w:bottom w:w="0" w:type="dxa"/>
          <w:right w:w="0" w:type="dxa"/>
        </w:tblCellMar>
      </w:tblPr>
      <w:tblGrid>
        <w:gridCol w:w="555"/>
        <w:gridCol w:w="2858"/>
        <w:gridCol w:w="5235"/>
      </w:tblGrid>
      <w:tr>
        <w:tblPrEx>
          <w:tblCellMar>
            <w:top w:w="0" w:type="dxa"/>
            <w:left w:w="0" w:type="dxa"/>
            <w:bottom w:w="0" w:type="dxa"/>
            <w:right w:w="0" w:type="dxa"/>
          </w:tblCellMar>
        </w:tblPrEx>
        <w:trPr>
          <w:trHeight w:val="573"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eastAsia="zh-CN"/>
              </w:rPr>
              <w:t>序号</w:t>
            </w:r>
          </w:p>
        </w:tc>
        <w:tc>
          <w:tcPr>
            <w:tcW w:w="28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eastAsia="zh-CN"/>
              </w:rPr>
              <w:t>内容</w:t>
            </w:r>
          </w:p>
        </w:tc>
        <w:tc>
          <w:tcPr>
            <w:tcW w:w="5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宋体" w:hAnsi="宋体" w:eastAsia="宋体" w:cs="宋体"/>
                <w:color w:val="000000"/>
                <w:sz w:val="24"/>
                <w:szCs w:val="24"/>
                <w:lang w:val="en-US" w:eastAsia="en-US" w:bidi="en-US"/>
              </w:rPr>
            </w:pPr>
            <w:r>
              <w:rPr>
                <w:rFonts w:hint="eastAsia" w:ascii="宋体" w:hAnsi="宋体" w:eastAsia="宋体" w:cs="宋体"/>
                <w:color w:val="000000"/>
                <w:sz w:val="24"/>
                <w:szCs w:val="24"/>
                <w:lang w:val="en-US" w:eastAsia="zh-CN"/>
              </w:rPr>
              <w:t>土建工程</w:t>
            </w:r>
          </w:p>
        </w:tc>
      </w:tr>
      <w:tr>
        <w:tblPrEx>
          <w:tblCellMar>
            <w:top w:w="0" w:type="dxa"/>
            <w:left w:w="0" w:type="dxa"/>
            <w:bottom w:w="0" w:type="dxa"/>
            <w:right w:w="0" w:type="dxa"/>
          </w:tblCellMar>
        </w:tblPrEx>
        <w:trPr>
          <w:trHeight w:val="668"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eastAsia="zh-CN"/>
              </w:rPr>
              <w:t>1</w:t>
            </w:r>
          </w:p>
        </w:tc>
        <w:tc>
          <w:tcPr>
            <w:tcW w:w="28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eastAsia="zh-CN"/>
              </w:rPr>
              <w:t>安全文明施工</w:t>
            </w:r>
          </w:p>
        </w:tc>
        <w:tc>
          <w:tcPr>
            <w:tcW w:w="5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4"/>
                <w:szCs w:val="24"/>
              </w:rPr>
            </w:pPr>
          </w:p>
        </w:tc>
      </w:tr>
      <w:tr>
        <w:tblPrEx>
          <w:tblCellMar>
            <w:top w:w="0" w:type="dxa"/>
            <w:left w:w="0" w:type="dxa"/>
            <w:bottom w:w="0" w:type="dxa"/>
            <w:right w:w="0" w:type="dxa"/>
          </w:tblCellMar>
        </w:tblPrEx>
        <w:trPr>
          <w:trHeight w:val="6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eastAsia="zh-CN"/>
              </w:rPr>
              <w:t>1.1</w:t>
            </w:r>
          </w:p>
        </w:tc>
        <w:tc>
          <w:tcPr>
            <w:tcW w:w="28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eastAsia="zh-CN"/>
              </w:rPr>
              <w:t>基本费</w:t>
            </w:r>
          </w:p>
        </w:tc>
        <w:tc>
          <w:tcPr>
            <w:tcW w:w="5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val="en-US" w:eastAsia="zh-CN"/>
              </w:rPr>
              <w:t>3.1</w:t>
            </w:r>
            <w:r>
              <w:rPr>
                <w:rFonts w:hint="eastAsia" w:ascii="宋体" w:hAnsi="宋体" w:eastAsia="宋体" w:cs="宋体"/>
                <w:color w:val="000000"/>
                <w:sz w:val="24"/>
                <w:szCs w:val="24"/>
                <w:lang w:eastAsia="zh-CN"/>
              </w:rPr>
              <w:t>%</w:t>
            </w:r>
          </w:p>
        </w:tc>
      </w:tr>
      <w:tr>
        <w:tblPrEx>
          <w:tblCellMar>
            <w:top w:w="0" w:type="dxa"/>
            <w:left w:w="0" w:type="dxa"/>
            <w:bottom w:w="0" w:type="dxa"/>
            <w:right w:w="0" w:type="dxa"/>
          </w:tblCellMar>
        </w:tblPrEx>
        <w:trPr>
          <w:trHeight w:val="6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eastAsia="zh-CN"/>
              </w:rPr>
              <w:t>1.2</w:t>
            </w:r>
          </w:p>
        </w:tc>
        <w:tc>
          <w:tcPr>
            <w:tcW w:w="28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eastAsia="zh-CN"/>
              </w:rPr>
              <w:t>市级标化增加费</w:t>
            </w:r>
          </w:p>
        </w:tc>
        <w:tc>
          <w:tcPr>
            <w:tcW w:w="5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eastAsia="zh-CN"/>
              </w:rPr>
              <w:t xml:space="preserve">0% </w:t>
            </w:r>
          </w:p>
        </w:tc>
      </w:tr>
      <w:tr>
        <w:tblPrEx>
          <w:tblCellMar>
            <w:top w:w="0" w:type="dxa"/>
            <w:left w:w="0" w:type="dxa"/>
            <w:bottom w:w="0" w:type="dxa"/>
            <w:right w:w="0" w:type="dxa"/>
          </w:tblCellMar>
        </w:tblPrEx>
        <w:trPr>
          <w:trHeight w:val="6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eastAsia="zh-CN"/>
              </w:rPr>
              <w:t>1.3</w:t>
            </w:r>
          </w:p>
        </w:tc>
        <w:tc>
          <w:tcPr>
            <w:tcW w:w="28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eastAsia="zh-CN"/>
              </w:rPr>
              <w:t>扬尘污染防治增加费</w:t>
            </w:r>
          </w:p>
        </w:tc>
        <w:tc>
          <w:tcPr>
            <w:tcW w:w="5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eastAsia="zh-CN"/>
              </w:rPr>
              <w:t>0.</w:t>
            </w:r>
            <w:r>
              <w:rPr>
                <w:rFonts w:hint="eastAsia" w:ascii="宋体" w:hAnsi="宋体" w:eastAsia="宋体" w:cs="宋体"/>
                <w:color w:val="000000"/>
                <w:sz w:val="24"/>
                <w:szCs w:val="24"/>
                <w:lang w:val="en-US" w:eastAsia="zh-CN"/>
              </w:rPr>
              <w:t>31</w:t>
            </w:r>
            <w:r>
              <w:rPr>
                <w:rFonts w:hint="eastAsia" w:ascii="宋体" w:hAnsi="宋体" w:eastAsia="宋体" w:cs="宋体"/>
                <w:color w:val="000000"/>
                <w:sz w:val="24"/>
                <w:szCs w:val="24"/>
                <w:lang w:eastAsia="zh-CN"/>
              </w:rPr>
              <w:t>%</w:t>
            </w:r>
          </w:p>
        </w:tc>
      </w:tr>
      <w:tr>
        <w:tblPrEx>
          <w:tblCellMar>
            <w:top w:w="0" w:type="dxa"/>
            <w:left w:w="0" w:type="dxa"/>
            <w:bottom w:w="0" w:type="dxa"/>
            <w:right w:w="0" w:type="dxa"/>
          </w:tblCellMar>
        </w:tblPrEx>
        <w:trPr>
          <w:trHeight w:val="6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eastAsia="zh-CN"/>
              </w:rPr>
              <w:t>2</w:t>
            </w:r>
          </w:p>
        </w:tc>
        <w:tc>
          <w:tcPr>
            <w:tcW w:w="28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eastAsia="zh-CN"/>
              </w:rPr>
              <w:t>夜间施工</w:t>
            </w:r>
          </w:p>
        </w:tc>
        <w:tc>
          <w:tcPr>
            <w:tcW w:w="5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eastAsia="zh-CN"/>
              </w:rPr>
              <w:t>0.08%</w:t>
            </w:r>
          </w:p>
        </w:tc>
      </w:tr>
      <w:tr>
        <w:tblPrEx>
          <w:tblCellMar>
            <w:top w:w="0" w:type="dxa"/>
            <w:left w:w="0" w:type="dxa"/>
            <w:bottom w:w="0" w:type="dxa"/>
            <w:right w:w="0" w:type="dxa"/>
          </w:tblCellMar>
        </w:tblPrEx>
        <w:trPr>
          <w:trHeight w:val="6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eastAsia="zh-CN"/>
              </w:rPr>
              <w:t>3</w:t>
            </w:r>
          </w:p>
        </w:tc>
        <w:tc>
          <w:tcPr>
            <w:tcW w:w="28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eastAsia="zh-CN"/>
              </w:rPr>
              <w:t>非夜间施工</w:t>
            </w:r>
          </w:p>
        </w:tc>
        <w:tc>
          <w:tcPr>
            <w:tcW w:w="5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宋体" w:hAnsi="宋体" w:eastAsia="宋体" w:cs="宋体"/>
                <w:color w:val="000000"/>
                <w:sz w:val="24"/>
                <w:szCs w:val="24"/>
                <w:lang w:val="en-US"/>
              </w:rPr>
            </w:pPr>
            <w:r>
              <w:rPr>
                <w:rFonts w:hint="eastAsia" w:ascii="宋体" w:hAnsi="宋体" w:eastAsia="宋体" w:cs="宋体"/>
                <w:color w:val="000000"/>
                <w:sz w:val="24"/>
                <w:szCs w:val="24"/>
                <w:lang w:val="en-US" w:eastAsia="zh-CN"/>
              </w:rPr>
              <w:t>0</w:t>
            </w:r>
          </w:p>
        </w:tc>
      </w:tr>
      <w:tr>
        <w:tblPrEx>
          <w:tblCellMar>
            <w:top w:w="0" w:type="dxa"/>
            <w:left w:w="0" w:type="dxa"/>
            <w:bottom w:w="0" w:type="dxa"/>
            <w:right w:w="0" w:type="dxa"/>
          </w:tblCellMar>
        </w:tblPrEx>
        <w:trPr>
          <w:trHeight w:val="6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eastAsia="zh-CN"/>
              </w:rPr>
              <w:t>4</w:t>
            </w:r>
          </w:p>
        </w:tc>
        <w:tc>
          <w:tcPr>
            <w:tcW w:w="28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eastAsia="zh-CN"/>
              </w:rPr>
              <w:t>冬雨季施工</w:t>
            </w:r>
          </w:p>
        </w:tc>
        <w:tc>
          <w:tcPr>
            <w:tcW w:w="5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eastAsia="zh-CN"/>
              </w:rPr>
              <w:t>0.</w:t>
            </w:r>
            <w:r>
              <w:rPr>
                <w:rFonts w:hint="eastAsia" w:ascii="宋体" w:hAnsi="宋体" w:eastAsia="宋体" w:cs="宋体"/>
                <w:color w:val="000000"/>
                <w:sz w:val="24"/>
                <w:szCs w:val="24"/>
                <w:lang w:val="en-US" w:eastAsia="zh-CN"/>
              </w:rPr>
              <w:t>18</w:t>
            </w:r>
            <w:r>
              <w:rPr>
                <w:rFonts w:hint="eastAsia" w:ascii="宋体" w:hAnsi="宋体" w:eastAsia="宋体" w:cs="宋体"/>
                <w:color w:val="000000"/>
                <w:sz w:val="24"/>
                <w:szCs w:val="24"/>
                <w:lang w:eastAsia="zh-CN"/>
              </w:rPr>
              <w:t>%</w:t>
            </w:r>
          </w:p>
        </w:tc>
      </w:tr>
      <w:tr>
        <w:tblPrEx>
          <w:tblCellMar>
            <w:top w:w="0" w:type="dxa"/>
            <w:left w:w="0" w:type="dxa"/>
            <w:bottom w:w="0" w:type="dxa"/>
            <w:right w:w="0" w:type="dxa"/>
          </w:tblCellMar>
        </w:tblPrEx>
        <w:trPr>
          <w:trHeight w:val="6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eastAsia="zh-CN"/>
              </w:rPr>
              <w:t>5</w:t>
            </w:r>
          </w:p>
        </w:tc>
        <w:tc>
          <w:tcPr>
            <w:tcW w:w="28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eastAsia="zh-CN"/>
              </w:rPr>
              <w:t>已完工程及设备保护</w:t>
            </w:r>
          </w:p>
        </w:tc>
        <w:tc>
          <w:tcPr>
            <w:tcW w:w="5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eastAsia="zh-CN"/>
              </w:rPr>
              <w:t>0.</w:t>
            </w:r>
            <w:r>
              <w:rPr>
                <w:rFonts w:hint="eastAsia" w:ascii="宋体" w:hAnsi="宋体" w:eastAsia="宋体" w:cs="宋体"/>
                <w:color w:val="000000"/>
                <w:sz w:val="24"/>
                <w:szCs w:val="24"/>
                <w:lang w:val="en-US" w:eastAsia="zh-CN"/>
              </w:rPr>
              <w:t>05</w:t>
            </w:r>
            <w:r>
              <w:rPr>
                <w:rFonts w:hint="eastAsia" w:ascii="宋体" w:hAnsi="宋体" w:eastAsia="宋体" w:cs="宋体"/>
                <w:color w:val="000000"/>
                <w:sz w:val="24"/>
                <w:szCs w:val="24"/>
                <w:lang w:eastAsia="zh-CN"/>
              </w:rPr>
              <w:t>%</w:t>
            </w:r>
          </w:p>
        </w:tc>
      </w:tr>
      <w:tr>
        <w:tblPrEx>
          <w:tblCellMar>
            <w:top w:w="0" w:type="dxa"/>
            <w:left w:w="0" w:type="dxa"/>
            <w:bottom w:w="0" w:type="dxa"/>
            <w:right w:w="0" w:type="dxa"/>
          </w:tblCellMar>
        </w:tblPrEx>
        <w:trPr>
          <w:trHeight w:val="6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eastAsia="zh-CN"/>
              </w:rPr>
              <w:t>6</w:t>
            </w:r>
          </w:p>
        </w:tc>
        <w:tc>
          <w:tcPr>
            <w:tcW w:w="28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lang w:eastAsia="zh-CN"/>
              </w:rPr>
            </w:pPr>
            <w:r>
              <w:rPr>
                <w:rFonts w:hint="eastAsia" w:ascii="宋体" w:hAnsi="宋体" w:eastAsia="宋体" w:cs="宋体"/>
                <w:color w:val="000000"/>
                <w:sz w:val="24"/>
                <w:szCs w:val="24"/>
                <w:lang w:eastAsia="zh-CN"/>
              </w:rPr>
              <w:t>地上、地下设施、建筑物的临时保护设施</w:t>
            </w:r>
          </w:p>
        </w:tc>
        <w:tc>
          <w:tcPr>
            <w:tcW w:w="5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eastAsia="zh-CN"/>
              </w:rPr>
              <w:t xml:space="preserve">0 </w:t>
            </w:r>
          </w:p>
        </w:tc>
      </w:tr>
      <w:tr>
        <w:tblPrEx>
          <w:tblCellMar>
            <w:top w:w="0" w:type="dxa"/>
            <w:left w:w="0" w:type="dxa"/>
            <w:bottom w:w="0" w:type="dxa"/>
            <w:right w:w="0" w:type="dxa"/>
          </w:tblCellMar>
        </w:tblPrEx>
        <w:trPr>
          <w:trHeight w:val="6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eastAsia="zh-CN"/>
              </w:rPr>
              <w:t>7</w:t>
            </w:r>
          </w:p>
        </w:tc>
        <w:tc>
          <w:tcPr>
            <w:tcW w:w="28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eastAsia="zh-CN"/>
              </w:rPr>
              <w:t>临时设施</w:t>
            </w:r>
          </w:p>
        </w:tc>
        <w:tc>
          <w:tcPr>
            <w:tcW w:w="5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lang w:eastAsia="zh-CN"/>
              </w:rPr>
              <w:t>.00%</w:t>
            </w:r>
          </w:p>
        </w:tc>
      </w:tr>
      <w:tr>
        <w:tblPrEx>
          <w:tblCellMar>
            <w:top w:w="0" w:type="dxa"/>
            <w:left w:w="0" w:type="dxa"/>
            <w:bottom w:w="0" w:type="dxa"/>
            <w:right w:w="0" w:type="dxa"/>
          </w:tblCellMar>
        </w:tblPrEx>
        <w:trPr>
          <w:trHeight w:val="6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eastAsia="zh-CN"/>
              </w:rPr>
              <w:t>8</w:t>
            </w:r>
          </w:p>
        </w:tc>
        <w:tc>
          <w:tcPr>
            <w:tcW w:w="28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eastAsia="zh-CN"/>
              </w:rPr>
              <w:t>赶工措施</w:t>
            </w:r>
          </w:p>
        </w:tc>
        <w:tc>
          <w:tcPr>
            <w:tcW w:w="5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eastAsia="zh-CN"/>
              </w:rPr>
              <w:t xml:space="preserve">0 </w:t>
            </w:r>
          </w:p>
        </w:tc>
      </w:tr>
      <w:tr>
        <w:tblPrEx>
          <w:tblCellMar>
            <w:top w:w="0" w:type="dxa"/>
            <w:left w:w="0" w:type="dxa"/>
            <w:bottom w:w="0" w:type="dxa"/>
            <w:right w:w="0" w:type="dxa"/>
          </w:tblCellMar>
        </w:tblPrEx>
        <w:trPr>
          <w:trHeight w:val="6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eastAsia="zh-CN"/>
              </w:rPr>
              <w:t>9</w:t>
            </w:r>
          </w:p>
        </w:tc>
        <w:tc>
          <w:tcPr>
            <w:tcW w:w="28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eastAsia="zh-CN"/>
              </w:rPr>
              <w:t>工程按质论价</w:t>
            </w:r>
          </w:p>
        </w:tc>
        <w:tc>
          <w:tcPr>
            <w:tcW w:w="5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eastAsia="zh-CN"/>
              </w:rPr>
              <w:t>0</w:t>
            </w:r>
          </w:p>
        </w:tc>
      </w:tr>
      <w:tr>
        <w:tblPrEx>
          <w:tblCellMar>
            <w:top w:w="0" w:type="dxa"/>
            <w:left w:w="0" w:type="dxa"/>
            <w:bottom w:w="0" w:type="dxa"/>
            <w:right w:w="0" w:type="dxa"/>
          </w:tblCellMar>
        </w:tblPrEx>
        <w:trPr>
          <w:trHeight w:val="6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eastAsia="zh-CN"/>
              </w:rPr>
              <w:t>10</w:t>
            </w:r>
          </w:p>
        </w:tc>
        <w:tc>
          <w:tcPr>
            <w:tcW w:w="28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eastAsia="zh-CN"/>
              </w:rPr>
              <w:t>住宅分户验收</w:t>
            </w:r>
          </w:p>
        </w:tc>
        <w:tc>
          <w:tcPr>
            <w:tcW w:w="5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eastAsia="zh-CN"/>
              </w:rPr>
              <w:t>0</w:t>
            </w:r>
          </w:p>
        </w:tc>
      </w:tr>
      <w:tr>
        <w:tblPrEx>
          <w:tblCellMar>
            <w:top w:w="0" w:type="dxa"/>
            <w:left w:w="0" w:type="dxa"/>
            <w:bottom w:w="0" w:type="dxa"/>
            <w:right w:w="0" w:type="dxa"/>
          </w:tblCellMar>
        </w:tblPrEx>
        <w:trPr>
          <w:trHeight w:val="6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eastAsia="zh-CN"/>
              </w:rPr>
              <w:t>11</w:t>
            </w:r>
          </w:p>
        </w:tc>
        <w:tc>
          <w:tcPr>
            <w:tcW w:w="28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eastAsia="zh-CN"/>
              </w:rPr>
              <w:t>建筑工人实名制费用</w:t>
            </w:r>
          </w:p>
        </w:tc>
        <w:tc>
          <w:tcPr>
            <w:tcW w:w="5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eastAsia="zh-CN"/>
              </w:rPr>
              <w:t>0.0</w:t>
            </w:r>
            <w:r>
              <w:rPr>
                <w:rFonts w:hint="eastAsia" w:ascii="宋体" w:hAnsi="宋体" w:eastAsia="宋体" w:cs="宋体"/>
                <w:color w:val="000000"/>
                <w:sz w:val="24"/>
                <w:szCs w:val="24"/>
                <w:lang w:val="en-US" w:eastAsia="zh-CN"/>
              </w:rPr>
              <w:t>5</w:t>
            </w:r>
            <w:r>
              <w:rPr>
                <w:rFonts w:hint="eastAsia" w:ascii="宋体" w:hAnsi="宋体" w:eastAsia="宋体" w:cs="宋体"/>
                <w:color w:val="000000"/>
                <w:sz w:val="24"/>
                <w:szCs w:val="24"/>
                <w:lang w:eastAsia="zh-CN"/>
              </w:rPr>
              <w:t>%</w:t>
            </w:r>
          </w:p>
        </w:tc>
      </w:tr>
      <w:tr>
        <w:tblPrEx>
          <w:tblCellMar>
            <w:top w:w="0" w:type="dxa"/>
            <w:left w:w="0" w:type="dxa"/>
            <w:bottom w:w="0" w:type="dxa"/>
            <w:right w:w="0" w:type="dxa"/>
          </w:tblCellMar>
        </w:tblPrEx>
        <w:trPr>
          <w:trHeight w:val="6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12</w:t>
            </w:r>
          </w:p>
        </w:tc>
        <w:tc>
          <w:tcPr>
            <w:tcW w:w="28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智慧工地费用</w:t>
            </w:r>
          </w:p>
        </w:tc>
        <w:tc>
          <w:tcPr>
            <w:tcW w:w="5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0.1%</w:t>
            </w:r>
          </w:p>
        </w:tc>
      </w:tr>
      <w:tr>
        <w:tblPrEx>
          <w:tblCellMar>
            <w:top w:w="0" w:type="dxa"/>
            <w:left w:w="0" w:type="dxa"/>
            <w:bottom w:w="0" w:type="dxa"/>
            <w:right w:w="0" w:type="dxa"/>
          </w:tblCellMar>
        </w:tblPrEx>
        <w:trPr>
          <w:trHeight w:val="6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13</w:t>
            </w:r>
          </w:p>
        </w:tc>
        <w:tc>
          <w:tcPr>
            <w:tcW w:w="28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新冠疫情常态化防控</w:t>
            </w:r>
          </w:p>
        </w:tc>
        <w:tc>
          <w:tcPr>
            <w:tcW w:w="5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0</w:t>
            </w:r>
          </w:p>
        </w:tc>
      </w:tr>
    </w:tbl>
    <w:p>
      <w:pPr>
        <w:spacing w:after="0" w:line="360" w:lineRule="auto"/>
        <w:ind w:firstLine="480" w:firstLineChars="200"/>
        <w:rPr>
          <w:rFonts w:ascii="宋体" w:hAnsi="宋体" w:eastAsia="宋体" w:cs="宋体"/>
          <w:sz w:val="24"/>
          <w:szCs w:val="24"/>
          <w:lang w:eastAsia="zh-CN"/>
        </w:rPr>
      </w:pPr>
    </w:p>
    <w:p>
      <w:pPr>
        <w:spacing w:after="0"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val="en-US" w:eastAsia="zh-CN"/>
        </w:rPr>
        <w:t>12</w:t>
      </w:r>
      <w:r>
        <w:rPr>
          <w:rFonts w:hint="eastAsia" w:ascii="宋体" w:hAnsi="宋体" w:eastAsia="宋体" w:cs="宋体"/>
          <w:sz w:val="24"/>
          <w:szCs w:val="24"/>
          <w:lang w:eastAsia="zh-CN"/>
        </w:rPr>
        <w:t>、其他项目清单与计价汇总表计价说明</w:t>
      </w:r>
    </w:p>
    <w:p>
      <w:pPr>
        <w:spacing w:after="0"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（1）预留金按</w:t>
      </w:r>
      <w:r>
        <w:rPr>
          <w:rFonts w:hint="eastAsia" w:ascii="宋体" w:hAnsi="宋体" w:eastAsia="宋体" w:cs="宋体"/>
          <w:sz w:val="24"/>
          <w:szCs w:val="24"/>
          <w:lang w:val="en-US" w:eastAsia="zh-CN"/>
        </w:rPr>
        <w:t>分部分项工程费用10％</w:t>
      </w:r>
      <w:r>
        <w:rPr>
          <w:rFonts w:hint="eastAsia" w:ascii="宋体" w:hAnsi="宋体" w:eastAsia="宋体" w:cs="宋体"/>
          <w:sz w:val="24"/>
          <w:szCs w:val="24"/>
          <w:lang w:eastAsia="zh-CN"/>
        </w:rPr>
        <w:t xml:space="preserve">计入。        </w:t>
      </w:r>
    </w:p>
    <w:p>
      <w:pPr>
        <w:keepNext w:val="0"/>
        <w:keepLines w:val="0"/>
        <w:pageBreakBefore w:val="0"/>
        <w:widowControl/>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13</w:t>
      </w:r>
      <w:r>
        <w:rPr>
          <w:rFonts w:hint="eastAsia" w:ascii="宋体" w:hAnsi="宋体" w:eastAsia="宋体" w:cs="宋体"/>
          <w:sz w:val="24"/>
          <w:szCs w:val="24"/>
          <w:lang w:eastAsia="zh-CN"/>
        </w:rPr>
        <w:t>、规费税金详见下表</w:t>
      </w:r>
    </w:p>
    <w:tbl>
      <w:tblPr>
        <w:tblStyle w:val="5"/>
        <w:tblW w:w="8633" w:type="dxa"/>
        <w:tblInd w:w="0" w:type="dxa"/>
        <w:tblLayout w:type="fixed"/>
        <w:tblCellMar>
          <w:top w:w="0" w:type="dxa"/>
          <w:left w:w="0" w:type="dxa"/>
          <w:bottom w:w="0" w:type="dxa"/>
          <w:right w:w="0" w:type="dxa"/>
        </w:tblCellMar>
      </w:tblPr>
      <w:tblGrid>
        <w:gridCol w:w="555"/>
        <w:gridCol w:w="2843"/>
        <w:gridCol w:w="5235"/>
      </w:tblGrid>
      <w:tr>
        <w:tblPrEx>
          <w:tblCellMar>
            <w:top w:w="0" w:type="dxa"/>
            <w:left w:w="0" w:type="dxa"/>
            <w:bottom w:w="0" w:type="dxa"/>
            <w:right w:w="0" w:type="dxa"/>
          </w:tblCellMar>
        </w:tblPrEx>
        <w:trPr>
          <w:trHeight w:val="6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eastAsia="zh-CN"/>
              </w:rPr>
              <w:t>序号</w:t>
            </w:r>
          </w:p>
        </w:tc>
        <w:tc>
          <w:tcPr>
            <w:tcW w:w="2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eastAsia="zh-CN"/>
              </w:rPr>
              <w:t>内容</w:t>
            </w:r>
          </w:p>
        </w:tc>
        <w:tc>
          <w:tcPr>
            <w:tcW w:w="5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default" w:ascii="宋体" w:hAnsi="宋体" w:eastAsia="宋体" w:cs="宋体"/>
                <w:color w:val="000000"/>
                <w:sz w:val="24"/>
                <w:szCs w:val="24"/>
                <w:lang w:val="en-US"/>
              </w:rPr>
            </w:pPr>
            <w:r>
              <w:rPr>
                <w:rFonts w:hint="eastAsia" w:ascii="宋体" w:hAnsi="宋体" w:eastAsia="宋体" w:cs="宋体"/>
                <w:color w:val="000000"/>
                <w:sz w:val="24"/>
                <w:szCs w:val="24"/>
                <w:lang w:val="en-US" w:eastAsia="zh-CN"/>
              </w:rPr>
              <w:t>土建工程</w:t>
            </w:r>
          </w:p>
        </w:tc>
      </w:tr>
      <w:tr>
        <w:tblPrEx>
          <w:tblCellMar>
            <w:top w:w="0" w:type="dxa"/>
            <w:left w:w="0" w:type="dxa"/>
            <w:bottom w:w="0" w:type="dxa"/>
            <w:right w:w="0" w:type="dxa"/>
          </w:tblCellMar>
        </w:tblPrEx>
        <w:trPr>
          <w:trHeight w:val="6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eastAsia="zh-CN"/>
              </w:rPr>
              <w:t>1</w:t>
            </w:r>
          </w:p>
        </w:tc>
        <w:tc>
          <w:tcPr>
            <w:tcW w:w="2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eastAsia="zh-CN"/>
              </w:rPr>
              <w:t>社会保险金</w:t>
            </w:r>
          </w:p>
        </w:tc>
        <w:tc>
          <w:tcPr>
            <w:tcW w:w="5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val="en-US" w:eastAsia="zh-CN"/>
              </w:rPr>
              <w:t>3.2</w:t>
            </w:r>
            <w:r>
              <w:rPr>
                <w:rFonts w:hint="eastAsia" w:ascii="宋体" w:hAnsi="宋体" w:eastAsia="宋体" w:cs="宋体"/>
                <w:color w:val="000000"/>
                <w:sz w:val="24"/>
                <w:szCs w:val="24"/>
                <w:lang w:eastAsia="zh-CN"/>
              </w:rPr>
              <w:t>0%</w:t>
            </w:r>
          </w:p>
        </w:tc>
      </w:tr>
      <w:tr>
        <w:tblPrEx>
          <w:tblCellMar>
            <w:top w:w="0" w:type="dxa"/>
            <w:left w:w="0" w:type="dxa"/>
            <w:bottom w:w="0" w:type="dxa"/>
            <w:right w:w="0" w:type="dxa"/>
          </w:tblCellMar>
        </w:tblPrEx>
        <w:trPr>
          <w:trHeight w:val="6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eastAsia="zh-CN"/>
              </w:rPr>
              <w:t>2</w:t>
            </w:r>
          </w:p>
        </w:tc>
        <w:tc>
          <w:tcPr>
            <w:tcW w:w="2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eastAsia="zh-CN"/>
              </w:rPr>
              <w:t>住房公积金</w:t>
            </w:r>
          </w:p>
        </w:tc>
        <w:tc>
          <w:tcPr>
            <w:tcW w:w="5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eastAsia="zh-CN"/>
              </w:rPr>
              <w:t>0.</w:t>
            </w:r>
            <w:r>
              <w:rPr>
                <w:rFonts w:hint="eastAsia" w:ascii="宋体" w:hAnsi="宋体" w:eastAsia="宋体" w:cs="宋体"/>
                <w:color w:val="000000"/>
                <w:sz w:val="24"/>
                <w:szCs w:val="24"/>
                <w:lang w:val="en-US" w:eastAsia="zh-CN"/>
              </w:rPr>
              <w:t>53</w:t>
            </w:r>
            <w:r>
              <w:rPr>
                <w:rFonts w:hint="eastAsia" w:ascii="宋体" w:hAnsi="宋体" w:eastAsia="宋体" w:cs="宋体"/>
                <w:color w:val="000000"/>
                <w:sz w:val="24"/>
                <w:szCs w:val="24"/>
                <w:lang w:eastAsia="zh-CN"/>
              </w:rPr>
              <w:t>%</w:t>
            </w:r>
          </w:p>
        </w:tc>
      </w:tr>
      <w:tr>
        <w:tblPrEx>
          <w:tblCellMar>
            <w:top w:w="0" w:type="dxa"/>
            <w:left w:w="0" w:type="dxa"/>
            <w:bottom w:w="0" w:type="dxa"/>
            <w:right w:w="0" w:type="dxa"/>
          </w:tblCellMar>
        </w:tblPrEx>
        <w:trPr>
          <w:trHeight w:val="6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eastAsia="zh-CN"/>
              </w:rPr>
              <w:t>3</w:t>
            </w:r>
          </w:p>
        </w:tc>
        <w:tc>
          <w:tcPr>
            <w:tcW w:w="2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eastAsia="zh-CN"/>
              </w:rPr>
              <w:t>环境保护税</w:t>
            </w:r>
          </w:p>
        </w:tc>
        <w:tc>
          <w:tcPr>
            <w:tcW w:w="5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eastAsia="zh-CN"/>
              </w:rPr>
              <w:t>0%</w:t>
            </w:r>
          </w:p>
        </w:tc>
      </w:tr>
      <w:tr>
        <w:tblPrEx>
          <w:tblCellMar>
            <w:top w:w="0" w:type="dxa"/>
            <w:left w:w="0" w:type="dxa"/>
            <w:bottom w:w="0" w:type="dxa"/>
            <w:right w:w="0" w:type="dxa"/>
          </w:tblCellMar>
        </w:tblPrEx>
        <w:trPr>
          <w:trHeight w:val="6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eastAsia="zh-CN"/>
              </w:rPr>
              <w:t>4</w:t>
            </w:r>
          </w:p>
        </w:tc>
        <w:tc>
          <w:tcPr>
            <w:tcW w:w="2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eastAsia="zh-CN"/>
              </w:rPr>
              <w:t>税金</w:t>
            </w:r>
          </w:p>
        </w:tc>
        <w:tc>
          <w:tcPr>
            <w:tcW w:w="5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eastAsia="zh-CN"/>
              </w:rPr>
              <w:t>9%</w:t>
            </w:r>
          </w:p>
        </w:tc>
      </w:tr>
    </w:tbl>
    <w:p>
      <w:pPr>
        <w:spacing w:after="0"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 xml:space="preserve">          </w:t>
      </w:r>
    </w:p>
    <w:p>
      <w:pPr>
        <w:spacing w:after="0" w:line="360" w:lineRule="auto"/>
        <w:jc w:val="right"/>
        <w:rPr>
          <w:rFonts w:ascii="宋体" w:hAnsi="宋体" w:eastAsia="宋体" w:cs="宋体"/>
          <w:sz w:val="24"/>
          <w:szCs w:val="24"/>
          <w:lang w:eastAsia="zh-CN"/>
        </w:rPr>
      </w:pPr>
      <w:r>
        <w:rPr>
          <w:rFonts w:hint="eastAsia" w:ascii="宋体" w:hAnsi="宋体" w:eastAsia="宋体" w:cs="宋体"/>
          <w:sz w:val="24"/>
          <w:szCs w:val="24"/>
          <w:lang w:eastAsia="zh-CN"/>
        </w:rPr>
        <w:t>江苏春为全过程工程咨询有限公司</w:t>
      </w:r>
    </w:p>
    <w:p>
      <w:pPr>
        <w:spacing w:line="360" w:lineRule="auto"/>
        <w:ind w:firstLine="480" w:firstLineChars="200"/>
        <w:jc w:val="right"/>
        <w:rPr>
          <w:rFonts w:hint="eastAsia" w:ascii="宋体" w:hAnsi="宋体" w:eastAsia="宋体" w:cs="宋体"/>
          <w:sz w:val="21"/>
          <w:szCs w:val="21"/>
          <w:lang w:eastAsia="zh-CN"/>
        </w:rPr>
      </w:pPr>
      <w:r>
        <w:rPr>
          <w:rFonts w:hint="eastAsia" w:ascii="宋体" w:hAnsi="宋体" w:eastAsia="宋体" w:cs="宋体"/>
          <w:sz w:val="24"/>
          <w:szCs w:val="24"/>
          <w:lang w:eastAsia="zh-CN"/>
        </w:rPr>
        <w:t>202</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年</w:t>
      </w:r>
      <w:r>
        <w:rPr>
          <w:rFonts w:hint="eastAsia" w:ascii="宋体" w:hAnsi="宋体" w:eastAsia="宋体" w:cs="宋体"/>
          <w:sz w:val="24"/>
          <w:szCs w:val="24"/>
          <w:lang w:val="en-US" w:eastAsia="zh-CN"/>
        </w:rPr>
        <w:t>8</w:t>
      </w:r>
      <w:r>
        <w:rPr>
          <w:rFonts w:hint="eastAsia" w:ascii="宋体" w:hAnsi="宋体" w:eastAsia="宋体" w:cs="宋体"/>
          <w:sz w:val="24"/>
          <w:szCs w:val="24"/>
          <w:lang w:eastAsia="zh-CN"/>
        </w:rPr>
        <w:t>月</w:t>
      </w:r>
      <w:r>
        <w:rPr>
          <w:rFonts w:hint="eastAsia" w:ascii="宋体" w:hAnsi="宋体" w:eastAsia="宋体" w:cs="宋体"/>
          <w:sz w:val="24"/>
          <w:szCs w:val="24"/>
          <w:lang w:val="en-US" w:eastAsia="zh-CN"/>
        </w:rPr>
        <w:t>27</w:t>
      </w:r>
      <w:r>
        <w:rPr>
          <w:rFonts w:hint="eastAsia" w:ascii="宋体" w:hAnsi="宋体" w:eastAsia="宋体" w:cs="宋体"/>
          <w:sz w:val="24"/>
          <w:szCs w:val="24"/>
          <w:lang w:eastAsia="zh-CN"/>
        </w:rPr>
        <w:t>日</w:t>
      </w:r>
      <w:bookmarkStart w:id="0" w:name="_GoBack"/>
      <w:bookmarkEnd w:id="0"/>
    </w:p>
    <w:p>
      <w:pPr>
        <w:spacing w:line="360" w:lineRule="auto"/>
        <w:ind w:firstLine="420" w:firstLineChars="200"/>
        <w:jc w:val="right"/>
        <w:rPr>
          <w:rFonts w:hint="eastAsia" w:ascii="宋体" w:hAnsi="宋体" w:eastAsia="宋体" w:cs="宋体"/>
          <w:sz w:val="21"/>
          <w:szCs w:val="21"/>
          <w:lang w:eastAsia="zh-CN"/>
        </w:rPr>
      </w:pPr>
    </w:p>
    <w:p>
      <w:pPr>
        <w:spacing w:line="360" w:lineRule="auto"/>
        <w:jc w:val="both"/>
        <w:rPr>
          <w:rFonts w:ascii="宋体" w:hAnsi="宋体" w:eastAsia="宋体" w:cs="宋体"/>
          <w:sz w:val="21"/>
          <w:szCs w:val="21"/>
          <w:lang w:eastAsia="zh-CN"/>
        </w:rPr>
      </w:pPr>
    </w:p>
    <w:p>
      <w:pPr>
        <w:spacing w:line="360" w:lineRule="auto"/>
        <w:jc w:val="both"/>
        <w:rPr>
          <w:rFonts w:ascii="宋体" w:hAnsi="宋体" w:eastAsia="宋体" w:cs="宋体"/>
          <w:sz w:val="21"/>
          <w:szCs w:val="21"/>
          <w:lang w:eastAsia="zh-CN"/>
        </w:rPr>
      </w:pPr>
    </w:p>
    <w:p>
      <w:pPr>
        <w:spacing w:line="360" w:lineRule="auto"/>
        <w:jc w:val="both"/>
        <w:rPr>
          <w:rFonts w:ascii="宋体" w:hAnsi="宋体" w:eastAsia="宋体" w:cs="宋体"/>
          <w:sz w:val="21"/>
          <w:szCs w:val="21"/>
          <w:lang w:eastAsia="zh-CN"/>
        </w:rPr>
      </w:pPr>
    </w:p>
    <w:p>
      <w:pPr>
        <w:spacing w:line="360" w:lineRule="auto"/>
        <w:jc w:val="both"/>
        <w:rPr>
          <w:rFonts w:ascii="宋体" w:hAnsi="宋体" w:eastAsia="宋体" w:cs="宋体"/>
          <w:sz w:val="21"/>
          <w:szCs w:val="21"/>
          <w:lang w:eastAsia="zh-CN"/>
        </w:rPr>
      </w:pPr>
    </w:p>
    <w:p>
      <w:pPr>
        <w:spacing w:line="360" w:lineRule="auto"/>
        <w:jc w:val="both"/>
        <w:rPr>
          <w:rFonts w:hint="default" w:ascii="宋体" w:hAnsi="宋体" w:eastAsia="宋体" w:cs="宋体"/>
          <w:sz w:val="21"/>
          <w:szCs w:val="21"/>
          <w:lang w:val="en-US" w:eastAsia="zh-CN"/>
        </w:rPr>
      </w:pP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
    <w:altName w:val="Times New Roman"/>
    <w:panose1 w:val="00000000000000000000"/>
    <w:charset w:val="00"/>
    <w:family w:val="roma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C03618"/>
    <w:multiLevelType w:val="singleLevel"/>
    <w:tmpl w:val="D0C03618"/>
    <w:lvl w:ilvl="0" w:tentative="0">
      <w:start w:val="1"/>
      <w:numFmt w:val="decimal"/>
      <w:suff w:val="nothing"/>
      <w:lvlText w:val="%1、"/>
      <w:lvlJc w:val="left"/>
    </w:lvl>
  </w:abstractNum>
  <w:abstractNum w:abstractNumId="1">
    <w:nsid w:val="505A33F1"/>
    <w:multiLevelType w:val="singleLevel"/>
    <w:tmpl w:val="505A33F1"/>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BhYTlhMzkzNDQ0YTk1OGE4NzU3MzU1ZjNhNDI3OTAifQ=="/>
  </w:docVars>
  <w:rsids>
    <w:rsidRoot w:val="00A94AF2"/>
    <w:rsid w:val="000073F6"/>
    <w:rsid w:val="00073BD2"/>
    <w:rsid w:val="000767A6"/>
    <w:rsid w:val="000855F7"/>
    <w:rsid w:val="000D24C0"/>
    <w:rsid w:val="001730E8"/>
    <w:rsid w:val="00251178"/>
    <w:rsid w:val="00252919"/>
    <w:rsid w:val="002C6E56"/>
    <w:rsid w:val="002E0BAF"/>
    <w:rsid w:val="00385C5D"/>
    <w:rsid w:val="003A4982"/>
    <w:rsid w:val="0042159F"/>
    <w:rsid w:val="005548DE"/>
    <w:rsid w:val="0056337F"/>
    <w:rsid w:val="0058708A"/>
    <w:rsid w:val="005E5823"/>
    <w:rsid w:val="00667D55"/>
    <w:rsid w:val="00680756"/>
    <w:rsid w:val="006B4389"/>
    <w:rsid w:val="00734CBF"/>
    <w:rsid w:val="00753B42"/>
    <w:rsid w:val="007C249F"/>
    <w:rsid w:val="007C2FC6"/>
    <w:rsid w:val="007D148E"/>
    <w:rsid w:val="00842641"/>
    <w:rsid w:val="00856BA8"/>
    <w:rsid w:val="00873B16"/>
    <w:rsid w:val="00956EF8"/>
    <w:rsid w:val="009C4207"/>
    <w:rsid w:val="009D0C9F"/>
    <w:rsid w:val="00A02F19"/>
    <w:rsid w:val="00A43579"/>
    <w:rsid w:val="00A94AF2"/>
    <w:rsid w:val="00AB78C2"/>
    <w:rsid w:val="00AD452A"/>
    <w:rsid w:val="00AE7E1D"/>
    <w:rsid w:val="00B73CAF"/>
    <w:rsid w:val="00BA2A2B"/>
    <w:rsid w:val="00BB01C5"/>
    <w:rsid w:val="00BD3F44"/>
    <w:rsid w:val="00C31AC3"/>
    <w:rsid w:val="00C606D2"/>
    <w:rsid w:val="00C7177F"/>
    <w:rsid w:val="00C73F96"/>
    <w:rsid w:val="00C85869"/>
    <w:rsid w:val="00CA606C"/>
    <w:rsid w:val="00CC6AAE"/>
    <w:rsid w:val="00CD41EA"/>
    <w:rsid w:val="00D74911"/>
    <w:rsid w:val="00D807D2"/>
    <w:rsid w:val="00DA04F7"/>
    <w:rsid w:val="00E7148B"/>
    <w:rsid w:val="00E717AF"/>
    <w:rsid w:val="00EB2FCA"/>
    <w:rsid w:val="00EC7A1D"/>
    <w:rsid w:val="00ED0A5B"/>
    <w:rsid w:val="00ED38EF"/>
    <w:rsid w:val="00EE143E"/>
    <w:rsid w:val="00EF2714"/>
    <w:rsid w:val="00EF2858"/>
    <w:rsid w:val="00F23519"/>
    <w:rsid w:val="00F6706F"/>
    <w:rsid w:val="00F8450B"/>
    <w:rsid w:val="00F86FB8"/>
    <w:rsid w:val="00F87B9D"/>
    <w:rsid w:val="00FA082B"/>
    <w:rsid w:val="00FF186D"/>
    <w:rsid w:val="015977DF"/>
    <w:rsid w:val="01D57419"/>
    <w:rsid w:val="02B42B19"/>
    <w:rsid w:val="03C971DD"/>
    <w:rsid w:val="042E619E"/>
    <w:rsid w:val="057C6DFC"/>
    <w:rsid w:val="05EA0203"/>
    <w:rsid w:val="06401914"/>
    <w:rsid w:val="06A56E19"/>
    <w:rsid w:val="06C75943"/>
    <w:rsid w:val="07147E7E"/>
    <w:rsid w:val="07EE5001"/>
    <w:rsid w:val="080041F1"/>
    <w:rsid w:val="0828397E"/>
    <w:rsid w:val="08CC43D4"/>
    <w:rsid w:val="08EB1917"/>
    <w:rsid w:val="0AB02757"/>
    <w:rsid w:val="0B1333FD"/>
    <w:rsid w:val="0BA91A53"/>
    <w:rsid w:val="0C986DF0"/>
    <w:rsid w:val="0C9B6067"/>
    <w:rsid w:val="0D0A3C01"/>
    <w:rsid w:val="0D82039B"/>
    <w:rsid w:val="0D834D30"/>
    <w:rsid w:val="0EA8381C"/>
    <w:rsid w:val="0EBF0C99"/>
    <w:rsid w:val="0ECA2618"/>
    <w:rsid w:val="0F05596B"/>
    <w:rsid w:val="0F817D4B"/>
    <w:rsid w:val="106B3413"/>
    <w:rsid w:val="10932E47"/>
    <w:rsid w:val="110E41D1"/>
    <w:rsid w:val="11530ED3"/>
    <w:rsid w:val="11637C9E"/>
    <w:rsid w:val="11F8762A"/>
    <w:rsid w:val="1208477B"/>
    <w:rsid w:val="123C676E"/>
    <w:rsid w:val="12B215DA"/>
    <w:rsid w:val="12C02EFB"/>
    <w:rsid w:val="12DD0D85"/>
    <w:rsid w:val="14E64775"/>
    <w:rsid w:val="1533202D"/>
    <w:rsid w:val="15966DCD"/>
    <w:rsid w:val="17195AA4"/>
    <w:rsid w:val="18186B21"/>
    <w:rsid w:val="18D445F1"/>
    <w:rsid w:val="18DF0058"/>
    <w:rsid w:val="18F255D1"/>
    <w:rsid w:val="19B46CC2"/>
    <w:rsid w:val="1A951111"/>
    <w:rsid w:val="1D391F96"/>
    <w:rsid w:val="1D704EEA"/>
    <w:rsid w:val="1E9F1CC9"/>
    <w:rsid w:val="1F2C0062"/>
    <w:rsid w:val="1F5D4963"/>
    <w:rsid w:val="1F8C725E"/>
    <w:rsid w:val="1F9574C1"/>
    <w:rsid w:val="200E0129"/>
    <w:rsid w:val="20181A68"/>
    <w:rsid w:val="22283BB7"/>
    <w:rsid w:val="225A3C2E"/>
    <w:rsid w:val="233B220D"/>
    <w:rsid w:val="23A214E6"/>
    <w:rsid w:val="24856D70"/>
    <w:rsid w:val="252B307A"/>
    <w:rsid w:val="25823033"/>
    <w:rsid w:val="27CF626C"/>
    <w:rsid w:val="28D66637"/>
    <w:rsid w:val="28F801DE"/>
    <w:rsid w:val="2909094C"/>
    <w:rsid w:val="2A0F16FD"/>
    <w:rsid w:val="2A35670C"/>
    <w:rsid w:val="2B01728A"/>
    <w:rsid w:val="2B571DFE"/>
    <w:rsid w:val="2BE912BD"/>
    <w:rsid w:val="2BFF3173"/>
    <w:rsid w:val="2D8643FD"/>
    <w:rsid w:val="2E9D7C7C"/>
    <w:rsid w:val="2FB51F51"/>
    <w:rsid w:val="2FCE596E"/>
    <w:rsid w:val="32B06603"/>
    <w:rsid w:val="32B874D4"/>
    <w:rsid w:val="34140EA1"/>
    <w:rsid w:val="34522576"/>
    <w:rsid w:val="352E4583"/>
    <w:rsid w:val="35C67377"/>
    <w:rsid w:val="36A16354"/>
    <w:rsid w:val="36BA6CF1"/>
    <w:rsid w:val="380D24DA"/>
    <w:rsid w:val="382C39FF"/>
    <w:rsid w:val="383C4277"/>
    <w:rsid w:val="39034E9E"/>
    <w:rsid w:val="393A0076"/>
    <w:rsid w:val="3A8A7592"/>
    <w:rsid w:val="3ACD221B"/>
    <w:rsid w:val="3AD64535"/>
    <w:rsid w:val="3B5D45F3"/>
    <w:rsid w:val="3B924B2F"/>
    <w:rsid w:val="3BD87E54"/>
    <w:rsid w:val="3CD51F7D"/>
    <w:rsid w:val="3D6C3BC5"/>
    <w:rsid w:val="3DE40D83"/>
    <w:rsid w:val="3FC31E8D"/>
    <w:rsid w:val="40120762"/>
    <w:rsid w:val="41862790"/>
    <w:rsid w:val="41D45AE0"/>
    <w:rsid w:val="42095657"/>
    <w:rsid w:val="42DE203E"/>
    <w:rsid w:val="42E02C3B"/>
    <w:rsid w:val="43800524"/>
    <w:rsid w:val="465A098D"/>
    <w:rsid w:val="470D6339"/>
    <w:rsid w:val="477B33F8"/>
    <w:rsid w:val="47FA44DC"/>
    <w:rsid w:val="4818602F"/>
    <w:rsid w:val="482E5725"/>
    <w:rsid w:val="48543392"/>
    <w:rsid w:val="48F17FF3"/>
    <w:rsid w:val="490229C0"/>
    <w:rsid w:val="49412D7D"/>
    <w:rsid w:val="49C935B9"/>
    <w:rsid w:val="4CAD3651"/>
    <w:rsid w:val="4CCF2007"/>
    <w:rsid w:val="4D4633AB"/>
    <w:rsid w:val="4DBB5350"/>
    <w:rsid w:val="4E3E3858"/>
    <w:rsid w:val="4E7E4BB8"/>
    <w:rsid w:val="4F7E5DEB"/>
    <w:rsid w:val="4FA72F6D"/>
    <w:rsid w:val="4FA95EC1"/>
    <w:rsid w:val="4FDB6BF0"/>
    <w:rsid w:val="51697A3F"/>
    <w:rsid w:val="51FD7A54"/>
    <w:rsid w:val="52011060"/>
    <w:rsid w:val="52394B8B"/>
    <w:rsid w:val="52CE2C2C"/>
    <w:rsid w:val="549E7874"/>
    <w:rsid w:val="55CE70C5"/>
    <w:rsid w:val="57190993"/>
    <w:rsid w:val="58040EA5"/>
    <w:rsid w:val="59C2071B"/>
    <w:rsid w:val="5A1A3DFD"/>
    <w:rsid w:val="5B227036"/>
    <w:rsid w:val="5CB57AE0"/>
    <w:rsid w:val="5CDF14F5"/>
    <w:rsid w:val="5D117556"/>
    <w:rsid w:val="5DDD041C"/>
    <w:rsid w:val="5E8A15B6"/>
    <w:rsid w:val="5F3B0181"/>
    <w:rsid w:val="5F3C6595"/>
    <w:rsid w:val="60F93553"/>
    <w:rsid w:val="630A4368"/>
    <w:rsid w:val="636B2EEA"/>
    <w:rsid w:val="638D0087"/>
    <w:rsid w:val="63E37B92"/>
    <w:rsid w:val="643E1C18"/>
    <w:rsid w:val="645E0196"/>
    <w:rsid w:val="64E54CCC"/>
    <w:rsid w:val="65577C74"/>
    <w:rsid w:val="66A54324"/>
    <w:rsid w:val="6831505D"/>
    <w:rsid w:val="683B6809"/>
    <w:rsid w:val="68FB664E"/>
    <w:rsid w:val="691D4CA4"/>
    <w:rsid w:val="6A0B72D8"/>
    <w:rsid w:val="6B50255D"/>
    <w:rsid w:val="6BD52B06"/>
    <w:rsid w:val="6BE209C2"/>
    <w:rsid w:val="6CCB0C93"/>
    <w:rsid w:val="6D322D3C"/>
    <w:rsid w:val="6E5D7E8B"/>
    <w:rsid w:val="6ED00B43"/>
    <w:rsid w:val="70E2131C"/>
    <w:rsid w:val="71127B9B"/>
    <w:rsid w:val="71620551"/>
    <w:rsid w:val="71A960AD"/>
    <w:rsid w:val="71CE2E3E"/>
    <w:rsid w:val="71E519FF"/>
    <w:rsid w:val="720F36E4"/>
    <w:rsid w:val="726515CC"/>
    <w:rsid w:val="72904CB4"/>
    <w:rsid w:val="72D63BB7"/>
    <w:rsid w:val="73D770EB"/>
    <w:rsid w:val="74000221"/>
    <w:rsid w:val="75625B94"/>
    <w:rsid w:val="75F84586"/>
    <w:rsid w:val="7A0A07CC"/>
    <w:rsid w:val="7B0B1188"/>
    <w:rsid w:val="7B6C3157"/>
    <w:rsid w:val="7BB167D5"/>
    <w:rsid w:val="7C293997"/>
    <w:rsid w:val="7C3A4586"/>
    <w:rsid w:val="7C3F5251"/>
    <w:rsid w:val="7C820D08"/>
    <w:rsid w:val="7CE97AA6"/>
    <w:rsid w:val="7D2E60D7"/>
    <w:rsid w:val="7D731BC6"/>
    <w:rsid w:val="7D7F5FF8"/>
    <w:rsid w:val="7DF36530"/>
    <w:rsid w:val="7EBA3727"/>
    <w:rsid w:val="7FA222F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en-US"/>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pPr>
      <w:spacing w:after="0" w:line="240" w:lineRule="auto"/>
    </w:pPr>
    <w:rPr>
      <w:sz w:val="18"/>
      <w:szCs w:val="18"/>
    </w:rPr>
  </w:style>
  <w:style w:type="paragraph" w:styleId="3">
    <w:name w:val="footer"/>
    <w:basedOn w:val="1"/>
    <w:link w:val="10"/>
    <w:semiHidden/>
    <w:unhideWhenUsed/>
    <w:qFormat/>
    <w:uiPriority w:val="99"/>
    <w:pPr>
      <w:tabs>
        <w:tab w:val="center" w:pos="4153"/>
        <w:tab w:val="right" w:pos="8306"/>
      </w:tabs>
      <w:snapToGrid w:val="0"/>
      <w:spacing w:line="240" w:lineRule="auto"/>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table" w:styleId="6">
    <w:name w:val="Table Grid"/>
    <w:basedOn w:val="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
    <w:name w:val="列出段落1"/>
    <w:basedOn w:val="1"/>
    <w:qFormat/>
    <w:uiPriority w:val="99"/>
    <w:pPr>
      <w:ind w:firstLine="420" w:firstLineChars="200"/>
    </w:pPr>
  </w:style>
  <w:style w:type="character" w:customStyle="1" w:styleId="9">
    <w:name w:val="页眉 Char"/>
    <w:basedOn w:val="7"/>
    <w:link w:val="4"/>
    <w:semiHidden/>
    <w:qFormat/>
    <w:uiPriority w:val="99"/>
    <w:rPr>
      <w:rFonts w:asciiTheme="minorHAnsi" w:hAnsiTheme="minorHAnsi" w:eastAsiaTheme="minorHAnsi" w:cstheme="minorBidi"/>
      <w:sz w:val="18"/>
      <w:szCs w:val="18"/>
      <w:lang w:eastAsia="en-US" w:bidi="en-US"/>
    </w:rPr>
  </w:style>
  <w:style w:type="character" w:customStyle="1" w:styleId="10">
    <w:name w:val="页脚 Char"/>
    <w:basedOn w:val="7"/>
    <w:link w:val="3"/>
    <w:semiHidden/>
    <w:qFormat/>
    <w:uiPriority w:val="99"/>
    <w:rPr>
      <w:rFonts w:asciiTheme="minorHAnsi" w:hAnsiTheme="minorHAnsi" w:eastAsiaTheme="minorHAnsi" w:cstheme="minorBidi"/>
      <w:sz w:val="18"/>
      <w:szCs w:val="18"/>
      <w:lang w:eastAsia="en-US" w:bidi="en-US"/>
    </w:rPr>
  </w:style>
  <w:style w:type="paragraph" w:styleId="11">
    <w:name w:val="List Paragraph"/>
    <w:basedOn w:val="1"/>
    <w:qFormat/>
    <w:uiPriority w:val="34"/>
    <w:pPr>
      <w:ind w:firstLine="420" w:firstLineChars="200"/>
    </w:pPr>
  </w:style>
  <w:style w:type="character" w:customStyle="1" w:styleId="12">
    <w:name w:val="font31"/>
    <w:basedOn w:val="7"/>
    <w:qFormat/>
    <w:uiPriority w:val="0"/>
    <w:rPr>
      <w:rFonts w:hint="eastAsia" w:ascii="宋体" w:hAnsi="宋体" w:eastAsia="宋体" w:cs="宋体"/>
      <w:color w:val="000000"/>
      <w:sz w:val="22"/>
      <w:szCs w:val="22"/>
      <w:u w:val="none"/>
    </w:rPr>
  </w:style>
  <w:style w:type="character" w:customStyle="1" w:styleId="13">
    <w:name w:val="font61"/>
    <w:basedOn w:val="7"/>
    <w:qFormat/>
    <w:uiPriority w:val="0"/>
    <w:rPr>
      <w:rFonts w:hint="eastAsia" w:ascii="宋体" w:hAnsi="宋体" w:eastAsia="宋体" w:cs="宋体"/>
      <w:color w:val="000000"/>
      <w:sz w:val="22"/>
      <w:szCs w:val="22"/>
      <w:u w:val="none"/>
    </w:rPr>
  </w:style>
  <w:style w:type="character" w:customStyle="1" w:styleId="14">
    <w:name w:val="批注框文本 Char"/>
    <w:basedOn w:val="7"/>
    <w:link w:val="2"/>
    <w:semiHidden/>
    <w:qFormat/>
    <w:uiPriority w:val="99"/>
    <w:rPr>
      <w:rFonts w:asciiTheme="minorHAnsi" w:hAnsiTheme="minorHAnsi" w:eastAsiaTheme="minorHAnsi" w:cstheme="minorBidi"/>
      <w:sz w:val="18"/>
      <w:szCs w:val="18"/>
      <w:lang w:eastAsia="en-US" w:bidi="en-US"/>
    </w:rPr>
  </w:style>
  <w:style w:type="character" w:customStyle="1" w:styleId="15">
    <w:name w:val="font21"/>
    <w:basedOn w:val="7"/>
    <w:qFormat/>
    <w:uiPriority w:val="0"/>
    <w:rPr>
      <w:rFonts w:hint="eastAsia" w:ascii="宋体" w:hAnsi="宋体" w:eastAsia="宋体" w:cs="宋体"/>
      <w:color w:val="000000"/>
      <w:sz w:val="22"/>
      <w:szCs w:val="22"/>
      <w:u w:val="none"/>
    </w:rPr>
  </w:style>
  <w:style w:type="character" w:customStyle="1" w:styleId="16">
    <w:name w:val="font11"/>
    <w:basedOn w:val="7"/>
    <w:qFormat/>
    <w:uiPriority w:val="0"/>
    <w:rPr>
      <w:rFonts w:hint="eastAsia" w:ascii="宋体" w:hAnsi="宋体" w:eastAsia="宋体" w:cs="宋体"/>
      <w:b/>
      <w:bCs/>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黑体"/>
        <a:cs typeface=""/>
        <a:font script="Jpan" typeface="MS P????"/>
        <a:font script="Hang" typeface="?? ??"/>
        <a:font script="Hans" typeface="??"/>
        <a:font script="Hant" typeface="????"/>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MS P????"/>
        <a:font script="Hang" typeface="?? ??"/>
        <a:font script="Hans" typeface="??"/>
        <a:font script="Hant" typeface="????"/>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officegen</Company>
  <Pages>4</Pages>
  <Words>1424</Words>
  <Characters>1570</Characters>
  <Lines>41</Lines>
  <Paragraphs>11</Paragraphs>
  <TotalTime>12</TotalTime>
  <ScaleCrop>false</ScaleCrop>
  <LinksUpToDate>false</LinksUpToDate>
  <CharactersWithSpaces>1591</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2019-05-20T03:12:00Z</dcterms:created>
  <dc:creator>officegen</dc:creator>
  <cp:lastModifiedBy>流光</cp:lastModifiedBy>
  <cp:lastPrinted>2023-09-25T09:37:57Z</cp:lastPrinted>
  <dcterms:modified xsi:type="dcterms:W3CDTF">2023-09-25T09:38:06Z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41B44CA61BE0402BB125BDE3A4CF8B33_13</vt:lpwstr>
  </property>
</Properties>
</file>