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bCs/>
          <w:sz w:val="44"/>
          <w:szCs w:val="44"/>
        </w:rPr>
      </w:pPr>
      <w:r>
        <w:rPr>
          <w:rFonts w:hint="eastAsia" w:ascii="宋体" w:hAnsi="宋体" w:eastAsia="宋体" w:cs="宋体"/>
          <w:b/>
          <w:bCs/>
          <w:sz w:val="44"/>
          <w:szCs w:val="44"/>
        </w:rPr>
        <w:t>2023年度溧阳市社渚镇金庄村高标准农田建设项目清单及招标控制价编制说明</w:t>
      </w:r>
    </w:p>
    <w:p>
      <w:pPr>
        <w:spacing w:line="360" w:lineRule="auto"/>
        <w:jc w:val="center"/>
        <w:rPr>
          <w:rFonts w:hint="eastAsia" w:ascii="宋体" w:hAnsi="宋体" w:eastAsia="宋体" w:cs="宋体"/>
          <w:b/>
          <w:bCs/>
          <w:sz w:val="32"/>
          <w:szCs w:val="32"/>
        </w:rPr>
      </w:pPr>
    </w:p>
    <w:p>
      <w:pPr>
        <w:keepNext w:val="0"/>
        <w:keepLines w:val="0"/>
        <w:pageBreakBefore w:val="0"/>
        <w:widowControl w:val="0"/>
        <w:numPr>
          <w:ilvl w:val="0"/>
          <w:numId w:val="1"/>
        </w:numPr>
        <w:kinsoku/>
        <w:wordWrap/>
        <w:overflowPunct/>
        <w:topLinePunct w:val="0"/>
        <w:bidi w:val="0"/>
        <w:snapToGrid/>
        <w:spacing w:line="360" w:lineRule="auto"/>
        <w:ind w:left="482" w:hanging="482"/>
        <w:textAlignment w:val="auto"/>
        <w:rPr>
          <w:rFonts w:hint="eastAsia" w:asciiTheme="minorEastAsia" w:hAnsiTheme="minorEastAsia" w:eastAsiaTheme="minorEastAsia" w:cstheme="minorEastAsia"/>
          <w:sz w:val="32"/>
          <w:szCs w:val="32"/>
          <w:lang w:val="en-US" w:eastAsia="zh-CN"/>
        </w:rPr>
      </w:pPr>
      <w:r>
        <w:rPr>
          <w:rFonts w:hint="eastAsia" w:asciiTheme="minorEastAsia" w:hAnsiTheme="minorEastAsia" w:eastAsiaTheme="minorEastAsia" w:cstheme="minorEastAsia"/>
          <w:b/>
          <w:bCs/>
          <w:sz w:val="32"/>
          <w:szCs w:val="32"/>
        </w:rPr>
        <w:t>工程</w:t>
      </w:r>
      <w:r>
        <w:rPr>
          <w:rFonts w:hint="eastAsia" w:asciiTheme="minorEastAsia" w:hAnsiTheme="minorEastAsia" w:eastAsiaTheme="minorEastAsia" w:cstheme="minorEastAsia"/>
          <w:b/>
          <w:bCs/>
          <w:sz w:val="32"/>
          <w:szCs w:val="32"/>
          <w:lang w:val="en-US" w:eastAsia="zh-CN"/>
        </w:rPr>
        <w:t>概况</w:t>
      </w:r>
    </w:p>
    <w:p>
      <w:pPr>
        <w:keepNext w:val="0"/>
        <w:keepLines w:val="0"/>
        <w:pageBreakBefore w:val="0"/>
        <w:widowControl w:val="0"/>
        <w:numPr>
          <w:ilvl w:val="0"/>
          <w:numId w:val="2"/>
        </w:numPr>
        <w:kinsoku/>
        <w:wordWrap/>
        <w:overflowPunct/>
        <w:topLinePunct w:val="0"/>
        <w:bidi w:val="0"/>
        <w:snapToGrid/>
        <w:spacing w:line="360" w:lineRule="auto"/>
        <w:ind w:leftChars="0" w:firstLine="280" w:firstLineChars="1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工程名称：2023年度溧阳市社渚镇金庄村高标准农田建设项目   </w:t>
      </w:r>
    </w:p>
    <w:p>
      <w:pPr>
        <w:keepNext w:val="0"/>
        <w:keepLines w:val="0"/>
        <w:pageBreakBefore w:val="0"/>
        <w:widowControl w:val="0"/>
        <w:numPr>
          <w:numId w:val="0"/>
        </w:numPr>
        <w:kinsoku/>
        <w:wordWrap/>
        <w:overflowPunct/>
        <w:topLinePunct w:val="0"/>
        <w:bidi w:val="0"/>
        <w:snapToGrid/>
        <w:spacing w:line="360" w:lineRule="auto"/>
        <w:ind w:leftChars="100"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编制范围：新建农渠、新建农门、新建涵洞、新建人形便桥、新建放水口、中沟疏浚、土地平整、新建水泥路等</w:t>
      </w:r>
    </w:p>
    <w:p>
      <w:pPr>
        <w:keepNext w:val="0"/>
        <w:keepLines w:val="0"/>
        <w:pageBreakBefore w:val="0"/>
        <w:widowControl w:val="0"/>
        <w:numPr>
          <w:ilvl w:val="0"/>
          <w:numId w:val="2"/>
        </w:numPr>
        <w:kinsoku/>
        <w:wordWrap/>
        <w:overflowPunct/>
        <w:topLinePunct w:val="0"/>
        <w:bidi w:val="0"/>
        <w:snapToGrid/>
        <w:spacing w:line="360" w:lineRule="auto"/>
        <w:ind w:leftChars="0" w:firstLine="280" w:firstLineChars="1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建设单位：溧阳市社渚镇人民政府</w:t>
      </w:r>
      <w:bookmarkStart w:id="2" w:name="_GoBack"/>
      <w:bookmarkEnd w:id="2"/>
    </w:p>
    <w:p>
      <w:pPr>
        <w:keepNext w:val="0"/>
        <w:keepLines w:val="0"/>
        <w:pageBreakBefore w:val="0"/>
        <w:widowControl w:val="0"/>
        <w:numPr>
          <w:ilvl w:val="0"/>
          <w:numId w:val="2"/>
        </w:numPr>
        <w:kinsoku/>
        <w:wordWrap/>
        <w:overflowPunct/>
        <w:topLinePunct w:val="0"/>
        <w:bidi w:val="0"/>
        <w:snapToGrid/>
        <w:spacing w:line="360" w:lineRule="auto"/>
        <w:ind w:leftChars="0" w:firstLine="280" w:firstLineChars="1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建设地点：溧阳市社渚镇金庄村。</w:t>
      </w:r>
    </w:p>
    <w:p>
      <w:pPr>
        <w:keepNext w:val="0"/>
        <w:keepLines w:val="0"/>
        <w:pageBreakBefore w:val="0"/>
        <w:widowControl w:val="0"/>
        <w:numPr>
          <w:ilvl w:val="0"/>
          <w:numId w:val="1"/>
        </w:numPr>
        <w:kinsoku/>
        <w:wordWrap/>
        <w:overflowPunct/>
        <w:topLinePunct w:val="0"/>
        <w:bidi w:val="0"/>
        <w:snapToGrid/>
        <w:spacing w:line="360" w:lineRule="auto"/>
        <w:ind w:left="482" w:hanging="482"/>
        <w:textAlignment w:val="auto"/>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bCs/>
          <w:sz w:val="32"/>
          <w:szCs w:val="32"/>
          <w:lang w:val="en-US" w:eastAsia="zh-CN"/>
        </w:rPr>
        <w:t>编制依据</w:t>
      </w:r>
    </w:p>
    <w:p>
      <w:pPr>
        <w:pStyle w:val="4"/>
        <w:keepNext w:val="0"/>
        <w:keepLines w:val="0"/>
        <w:pageBreakBefore w:val="0"/>
        <w:widowControl w:val="0"/>
        <w:tabs>
          <w:tab w:val="left" w:pos="593"/>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bookmarkStart w:id="0" w:name="bookmark8"/>
      <w:r>
        <w:rPr>
          <w:rFonts w:hint="eastAsia" w:asciiTheme="minorEastAsia" w:hAnsiTheme="minorEastAsia" w:eastAsiaTheme="minorEastAsia" w:cstheme="minorEastAsia"/>
          <w:sz w:val="28"/>
          <w:szCs w:val="28"/>
          <w:lang w:val="en-US" w:eastAsia="zh-CN" w:bidi="ar-SA"/>
        </w:rPr>
        <w:t>1</w:t>
      </w:r>
      <w:bookmarkEnd w:id="0"/>
      <w:r>
        <w:rPr>
          <w:rFonts w:hint="eastAsia" w:asciiTheme="minorEastAsia" w:hAnsiTheme="minorEastAsia" w:eastAsiaTheme="minorEastAsia" w:cstheme="minorEastAsia"/>
          <w:sz w:val="28"/>
          <w:szCs w:val="28"/>
          <w:lang w:val="en-US" w:eastAsia="zh-CN" w:bidi="ar-SA"/>
        </w:rPr>
        <w:t>、《建设工程工程量清单计价规范》(GB50500-2013)；</w:t>
      </w:r>
    </w:p>
    <w:p>
      <w:pPr>
        <w:pStyle w:val="4"/>
        <w:keepNext w:val="0"/>
        <w:keepLines w:val="0"/>
        <w:pageBreakBefore w:val="0"/>
        <w:widowControl w:val="0"/>
        <w:tabs>
          <w:tab w:val="left" w:pos="607"/>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bookmarkStart w:id="1" w:name="bookmark9"/>
      <w:r>
        <w:rPr>
          <w:rFonts w:hint="eastAsia" w:asciiTheme="minorEastAsia" w:hAnsiTheme="minorEastAsia" w:eastAsiaTheme="minorEastAsia" w:cstheme="minorEastAsia"/>
          <w:sz w:val="28"/>
          <w:szCs w:val="28"/>
          <w:lang w:val="en-US" w:eastAsia="zh-CN" w:bidi="ar-SA"/>
        </w:rPr>
        <w:t>2</w:t>
      </w:r>
      <w:bookmarkEnd w:id="1"/>
      <w:r>
        <w:rPr>
          <w:rFonts w:hint="eastAsia" w:asciiTheme="minorEastAsia" w:hAnsiTheme="minorEastAsia" w:eastAsiaTheme="minorEastAsia" w:cstheme="minorEastAsia"/>
          <w:sz w:val="28"/>
          <w:szCs w:val="28"/>
          <w:lang w:val="en-US" w:eastAsia="zh-CN" w:bidi="ar-SA"/>
        </w:rPr>
        <w:t>、《市政工程工程量计算规范》(GB50857-2013)；</w:t>
      </w:r>
    </w:p>
    <w:p>
      <w:pPr>
        <w:pStyle w:val="4"/>
        <w:keepNext w:val="0"/>
        <w:keepLines w:val="0"/>
        <w:pageBreakBefore w:val="0"/>
        <w:widowControl w:val="0"/>
        <w:tabs>
          <w:tab w:val="left" w:pos="607"/>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3、《房屋建筑与装饰工程工程量计算规范》(GB50854-2013)；</w:t>
      </w:r>
    </w:p>
    <w:p>
      <w:pPr>
        <w:pStyle w:val="4"/>
        <w:keepNext w:val="0"/>
        <w:keepLines w:val="0"/>
        <w:pageBreakBefore w:val="0"/>
        <w:widowControl w:val="0"/>
        <w:tabs>
          <w:tab w:val="left" w:pos="607"/>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4、《通用安装工程工程量计算规范》(GB50856-2013)；</w:t>
      </w:r>
    </w:p>
    <w:p>
      <w:pPr>
        <w:pStyle w:val="4"/>
        <w:keepNext w:val="0"/>
        <w:keepLines w:val="0"/>
        <w:pageBreakBefore w:val="0"/>
        <w:widowControl w:val="0"/>
        <w:tabs>
          <w:tab w:val="left" w:pos="607"/>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5、《水利工程工程量清单计价规范》（GB50501- 2007）；</w:t>
      </w:r>
    </w:p>
    <w:p>
      <w:pPr>
        <w:pStyle w:val="4"/>
        <w:keepNext w:val="0"/>
        <w:keepLines w:val="0"/>
        <w:pageBreakBefore w:val="0"/>
        <w:widowControl w:val="0"/>
        <w:tabs>
          <w:tab w:val="left" w:pos="607"/>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6、 2014《江苏省土建装饰工程计价表》；</w:t>
      </w:r>
    </w:p>
    <w:p>
      <w:pPr>
        <w:pStyle w:val="4"/>
        <w:keepNext w:val="0"/>
        <w:keepLines w:val="0"/>
        <w:pageBreakBefore w:val="0"/>
        <w:widowControl w:val="0"/>
        <w:tabs>
          <w:tab w:val="left" w:pos="607"/>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7、 2014《江苏省市政工程计价定额》；</w:t>
      </w:r>
    </w:p>
    <w:p>
      <w:pPr>
        <w:pStyle w:val="4"/>
        <w:keepNext w:val="0"/>
        <w:keepLines w:val="0"/>
        <w:pageBreakBefore w:val="0"/>
        <w:widowControl w:val="0"/>
        <w:tabs>
          <w:tab w:val="left" w:pos="607"/>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8、 2014《江苏省安装工程计价表》；</w:t>
      </w:r>
    </w:p>
    <w:p>
      <w:pPr>
        <w:pStyle w:val="4"/>
        <w:keepNext w:val="0"/>
        <w:keepLines w:val="0"/>
        <w:pageBreakBefore w:val="0"/>
        <w:widowControl w:val="0"/>
        <w:tabs>
          <w:tab w:val="left" w:pos="612"/>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9、 2010江苏水利预算定额（2019动态价）；</w:t>
      </w:r>
    </w:p>
    <w:p>
      <w:pPr>
        <w:pStyle w:val="4"/>
        <w:keepNext w:val="0"/>
        <w:keepLines w:val="0"/>
        <w:pageBreakBefore w:val="0"/>
        <w:widowControl w:val="0"/>
        <w:tabs>
          <w:tab w:val="left" w:pos="713"/>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10、人工费标准按苏建函价(2023) 63号文件执行；</w:t>
      </w:r>
    </w:p>
    <w:p>
      <w:pPr>
        <w:pStyle w:val="4"/>
        <w:keepNext w:val="0"/>
        <w:keepLines w:val="0"/>
        <w:pageBreakBefore w:val="0"/>
        <w:widowControl w:val="0"/>
        <w:tabs>
          <w:tab w:val="left" w:pos="713"/>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11、材料价格参照2023年10月常州信息指导价,无信息价按市场价考虑；</w:t>
      </w:r>
    </w:p>
    <w:p>
      <w:pPr>
        <w:pStyle w:val="4"/>
        <w:keepNext w:val="0"/>
        <w:keepLines w:val="0"/>
        <w:pageBreakBefore w:val="0"/>
        <w:widowControl w:val="0"/>
        <w:tabs>
          <w:tab w:val="left" w:pos="713"/>
        </w:tabs>
        <w:kinsoku/>
        <w:wordWrap/>
        <w:overflowPunct/>
        <w:topLinePunct w:val="0"/>
        <w:bidi w:val="0"/>
        <w:snapToGrid/>
        <w:spacing w:line="360" w:lineRule="auto"/>
        <w:ind w:firstLine="220"/>
        <w:textAlignment w:val="auto"/>
        <w:rPr>
          <w:rFonts w:hint="eastAsia" w:asciiTheme="minorEastAsia" w:hAnsiTheme="minorEastAsia" w:eastAsiaTheme="minorEastAsia" w:cstheme="minorEastAsia"/>
          <w:sz w:val="28"/>
          <w:szCs w:val="28"/>
          <w:lang w:val="en-US" w:eastAsia="zh-CN" w:bidi="ar-SA"/>
        </w:rPr>
      </w:pPr>
      <w:r>
        <w:rPr>
          <w:rFonts w:hint="eastAsia" w:asciiTheme="minorEastAsia" w:hAnsiTheme="minorEastAsia" w:eastAsiaTheme="minorEastAsia" w:cstheme="minorEastAsia"/>
          <w:sz w:val="28"/>
          <w:szCs w:val="28"/>
          <w:lang w:val="en-US" w:eastAsia="zh-CN" w:bidi="ar-SA"/>
        </w:rPr>
        <w:t>12、建设方提供的设计图纸、方案设计及概算。</w:t>
      </w:r>
    </w:p>
    <w:p>
      <w:pPr>
        <w:keepNext w:val="0"/>
        <w:keepLines w:val="0"/>
        <w:pageBreakBefore w:val="0"/>
        <w:widowControl w:val="0"/>
        <w:numPr>
          <w:ilvl w:val="0"/>
          <w:numId w:val="1"/>
        </w:numPr>
        <w:kinsoku/>
        <w:wordWrap/>
        <w:overflowPunct/>
        <w:topLinePunct w:val="0"/>
        <w:bidi w:val="0"/>
        <w:snapToGrid/>
        <w:spacing w:line="360" w:lineRule="auto"/>
        <w:ind w:left="482" w:hanging="482"/>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32"/>
          <w:szCs w:val="32"/>
        </w:rPr>
        <w:t>编制方法</w:t>
      </w:r>
      <w:r>
        <w:rPr>
          <w:rFonts w:hint="eastAsia" w:asciiTheme="minorEastAsia" w:hAnsiTheme="minorEastAsia" w:eastAsiaTheme="minorEastAsia" w:cstheme="minorEastAsia"/>
          <w:sz w:val="28"/>
          <w:szCs w:val="28"/>
        </w:rPr>
        <w:t>：</w:t>
      </w:r>
    </w:p>
    <w:p>
      <w:pPr>
        <w:pStyle w:val="4"/>
        <w:keepNext w:val="0"/>
        <w:keepLines w:val="0"/>
        <w:pageBreakBefore w:val="0"/>
        <w:widowControl w:val="0"/>
        <w:numPr>
          <w:ilvl w:val="0"/>
          <w:numId w:val="3"/>
        </w:numPr>
        <w:tabs>
          <w:tab w:val="left" w:pos="797"/>
        </w:tabs>
        <w:kinsoku/>
        <w:wordWrap/>
        <w:overflowPunct/>
        <w:topLinePunct w:val="0"/>
        <w:bidi w:val="0"/>
        <w:snapToGrid/>
        <w:spacing w:line="360" w:lineRule="auto"/>
        <w:ind w:left="440" w:hanging="440"/>
        <w:textAlignment w:val="auto"/>
        <w:rPr>
          <w:rFonts w:hint="eastAsia" w:asciiTheme="minorEastAsia" w:hAnsiTheme="minorEastAsia" w:eastAsiaTheme="minorEastAsia" w:cstheme="minorEastAsia"/>
          <w:b w:val="0"/>
          <w:bCs w:val="0"/>
          <w:color w:val="000000"/>
          <w:sz w:val="28"/>
          <w:szCs w:val="28"/>
        </w:rPr>
      </w:pPr>
      <w:r>
        <w:rPr>
          <w:rFonts w:hint="eastAsia" w:asciiTheme="minorEastAsia" w:hAnsiTheme="minorEastAsia" w:eastAsiaTheme="minorEastAsia" w:cstheme="minorEastAsia"/>
          <w:b w:val="0"/>
          <w:bCs w:val="0"/>
          <w:color w:val="000000"/>
          <w:sz w:val="28"/>
          <w:szCs w:val="28"/>
          <w:lang w:val="en-US" w:eastAsia="zh-CN"/>
        </w:rPr>
        <w:t>总价措施项目费取环境保护措施费、安全文明措施费、临时工       程费、交通工程费、保险费；</w:t>
      </w:r>
    </w:p>
    <w:p>
      <w:pPr>
        <w:pStyle w:val="4"/>
        <w:keepNext w:val="0"/>
        <w:keepLines w:val="0"/>
        <w:pageBreakBefore w:val="0"/>
        <w:widowControl w:val="0"/>
        <w:numPr>
          <w:ilvl w:val="0"/>
          <w:numId w:val="3"/>
        </w:numPr>
        <w:tabs>
          <w:tab w:val="left" w:pos="797"/>
        </w:tabs>
        <w:kinsoku/>
        <w:wordWrap/>
        <w:overflowPunct/>
        <w:topLinePunct w:val="0"/>
        <w:bidi w:val="0"/>
        <w:snapToGrid/>
        <w:spacing w:line="360" w:lineRule="auto"/>
        <w:textAlignment w:val="auto"/>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本项目</w:t>
      </w:r>
      <w:r>
        <w:rPr>
          <w:rFonts w:hint="eastAsia" w:asciiTheme="minorEastAsia" w:hAnsiTheme="minorEastAsia" w:eastAsiaTheme="minorEastAsia" w:cstheme="minorEastAsia"/>
          <w:color w:val="000000"/>
          <w:sz w:val="28"/>
          <w:szCs w:val="28"/>
          <w:lang w:val="en-US" w:eastAsia="zh-CN"/>
        </w:rPr>
        <w:t>暂列金</w:t>
      </w:r>
      <w:r>
        <w:rPr>
          <w:rFonts w:hint="eastAsia" w:asciiTheme="minorEastAsia" w:hAnsiTheme="minorEastAsia" w:eastAsiaTheme="minorEastAsia" w:cstheme="minorEastAsia"/>
          <w:color w:val="000000"/>
          <w:sz w:val="28"/>
          <w:szCs w:val="28"/>
        </w:rPr>
        <w:t>见</w:t>
      </w:r>
      <w:r>
        <w:rPr>
          <w:rFonts w:hint="eastAsia" w:asciiTheme="minorEastAsia" w:hAnsiTheme="minorEastAsia" w:eastAsiaTheme="minorEastAsia" w:cstheme="minorEastAsia"/>
          <w:color w:val="000000"/>
          <w:sz w:val="28"/>
          <w:szCs w:val="28"/>
          <w:lang w:val="en-US" w:eastAsia="zh-CN"/>
        </w:rPr>
        <w:t>各</w:t>
      </w:r>
      <w:r>
        <w:rPr>
          <w:rFonts w:hint="eastAsia" w:asciiTheme="minorEastAsia" w:hAnsiTheme="minorEastAsia" w:eastAsiaTheme="minorEastAsia" w:cstheme="minorEastAsia"/>
          <w:color w:val="000000"/>
          <w:sz w:val="28"/>
          <w:szCs w:val="28"/>
        </w:rPr>
        <w:t>预算</w:t>
      </w:r>
      <w:r>
        <w:rPr>
          <w:rFonts w:hint="eastAsia" w:asciiTheme="minorEastAsia" w:hAnsiTheme="minorEastAsia" w:eastAsiaTheme="minorEastAsia" w:cstheme="minorEastAsia"/>
          <w:color w:val="000000"/>
          <w:sz w:val="28"/>
          <w:szCs w:val="28"/>
          <w:lang w:eastAsia="zh-CN"/>
        </w:rPr>
        <w:t>；</w:t>
      </w:r>
    </w:p>
    <w:p>
      <w:pPr>
        <w:pStyle w:val="4"/>
        <w:numPr>
          <w:ilvl w:val="0"/>
          <w:numId w:val="3"/>
        </w:numPr>
        <w:tabs>
          <w:tab w:val="left" w:pos="797"/>
        </w:tabs>
        <w:spacing w:line="360" w:lineRule="auto"/>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lang w:eastAsia="zh-CN"/>
        </w:rPr>
        <w:t>本工程所有的砼</w:t>
      </w:r>
      <w:r>
        <w:rPr>
          <w:rFonts w:hint="eastAsia" w:asciiTheme="minorEastAsia" w:hAnsiTheme="minorEastAsia" w:eastAsiaTheme="minorEastAsia" w:cstheme="minorEastAsia"/>
          <w:color w:val="auto"/>
          <w:sz w:val="28"/>
          <w:szCs w:val="28"/>
          <w:lang w:val="en-US" w:eastAsia="zh-CN"/>
        </w:rPr>
        <w:t>均</w:t>
      </w:r>
      <w:r>
        <w:rPr>
          <w:rFonts w:hint="eastAsia" w:asciiTheme="minorEastAsia" w:hAnsiTheme="minorEastAsia" w:eastAsiaTheme="minorEastAsia" w:cstheme="minorEastAsia"/>
          <w:color w:val="auto"/>
          <w:sz w:val="28"/>
          <w:szCs w:val="28"/>
          <w:lang w:eastAsia="zh-CN"/>
        </w:rPr>
        <w:t>为商品砼；</w:t>
      </w:r>
    </w:p>
    <w:p>
      <w:pPr>
        <w:pStyle w:val="4"/>
        <w:keepNext w:val="0"/>
        <w:keepLines w:val="0"/>
        <w:pageBreakBefore w:val="0"/>
        <w:widowControl w:val="0"/>
        <w:numPr>
          <w:ilvl w:val="0"/>
          <w:numId w:val="3"/>
        </w:numPr>
        <w:tabs>
          <w:tab w:val="left" w:pos="797"/>
        </w:tabs>
        <w:kinsoku/>
        <w:wordWrap/>
        <w:overflowPunct/>
        <w:topLinePunct w:val="0"/>
        <w:bidi w:val="0"/>
        <w:snapToGrid/>
        <w:spacing w:line="360" w:lineRule="auto"/>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color w:val="000000"/>
          <w:sz w:val="28"/>
          <w:szCs w:val="28"/>
        </w:rPr>
        <w:t>对材料、构配件和建筑物工</w:t>
      </w:r>
      <w:r>
        <w:rPr>
          <w:rFonts w:hint="eastAsia" w:asciiTheme="minorEastAsia" w:hAnsiTheme="minorEastAsia" w:eastAsiaTheme="minorEastAsia" w:cstheme="minorEastAsia"/>
          <w:color w:val="1E1E1E"/>
          <w:sz w:val="28"/>
          <w:szCs w:val="28"/>
        </w:rPr>
        <w:t>程质量</w:t>
      </w:r>
      <w:r>
        <w:rPr>
          <w:rFonts w:hint="eastAsia" w:asciiTheme="minorEastAsia" w:hAnsiTheme="minorEastAsia" w:eastAsiaTheme="minorEastAsia" w:cstheme="minorEastAsia"/>
          <w:color w:val="000000"/>
          <w:sz w:val="28"/>
          <w:szCs w:val="28"/>
        </w:rPr>
        <w:t>检测检验发生的第三方检测</w:t>
      </w:r>
      <w:r>
        <w:rPr>
          <w:rFonts w:hint="eastAsia" w:asciiTheme="minorEastAsia" w:hAnsiTheme="minorEastAsia" w:eastAsiaTheme="minorEastAsia" w:cstheme="minorEastAsia"/>
          <w:color w:val="1E1E1E"/>
          <w:sz w:val="28"/>
          <w:szCs w:val="28"/>
        </w:rPr>
        <w:t>费用，不</w:t>
      </w:r>
      <w:r>
        <w:rPr>
          <w:rFonts w:hint="eastAsia" w:asciiTheme="minorEastAsia" w:hAnsiTheme="minorEastAsia" w:eastAsiaTheme="minorEastAsia" w:cstheme="minorEastAsia"/>
          <w:color w:val="000000"/>
          <w:sz w:val="28"/>
          <w:szCs w:val="28"/>
        </w:rPr>
        <w:t>含本次控制价范围内。</w:t>
      </w:r>
    </w:p>
    <w:p>
      <w:pPr>
        <w:spacing w:line="360" w:lineRule="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                        </w:t>
      </w:r>
    </w:p>
    <w:p>
      <w:pPr>
        <w:spacing w:line="360" w:lineRule="auto"/>
        <w:rPr>
          <w:rFonts w:hint="eastAsia" w:asciiTheme="minorEastAsia" w:hAnsiTheme="minorEastAsia" w:eastAsiaTheme="minorEastAsia" w:cstheme="minorEastAsia"/>
          <w:sz w:val="28"/>
          <w:szCs w:val="28"/>
          <w:lang w:val="en-US" w:eastAsia="zh-CN"/>
        </w:rPr>
      </w:pPr>
    </w:p>
    <w:p>
      <w:pPr>
        <w:spacing w:line="360" w:lineRule="auto"/>
        <w:rPr>
          <w:rFonts w:hint="eastAsia" w:asciiTheme="minorEastAsia" w:hAnsiTheme="minorEastAsia" w:eastAsiaTheme="minorEastAsia" w:cstheme="minorEastAsia"/>
          <w:sz w:val="28"/>
          <w:szCs w:val="28"/>
          <w:lang w:val="en-US" w:eastAsia="zh-CN"/>
        </w:rPr>
      </w:pPr>
    </w:p>
    <w:p>
      <w:pPr>
        <w:spacing w:line="360" w:lineRule="auto"/>
        <w:rPr>
          <w:rFonts w:hint="eastAsia" w:asciiTheme="minorEastAsia" w:hAnsiTheme="minorEastAsia" w:eastAsiaTheme="minorEastAsia" w:cstheme="minorEastAsia"/>
          <w:color w:val="000000"/>
          <w:kern w:val="2"/>
          <w:sz w:val="28"/>
          <w:szCs w:val="28"/>
          <w:lang w:val="en-US" w:eastAsia="zh-CN" w:bidi="zh-TW"/>
        </w:rPr>
      </w:pP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color w:val="000000"/>
          <w:kern w:val="2"/>
          <w:sz w:val="28"/>
          <w:szCs w:val="28"/>
          <w:lang w:val="en-US" w:eastAsia="zh-CN" w:bidi="zh-TW"/>
        </w:rPr>
        <w:t xml:space="preserve">江苏苏南项目管理有限公司 </w:t>
      </w:r>
    </w:p>
    <w:p>
      <w:pPr>
        <w:spacing w:line="360" w:lineRule="auto"/>
        <w:rPr>
          <w:rFonts w:hint="default" w:asciiTheme="minorEastAsia" w:hAnsiTheme="minorEastAsia" w:eastAsiaTheme="minorEastAsia" w:cstheme="minorEastAsia"/>
          <w:color w:val="000000"/>
          <w:kern w:val="2"/>
          <w:sz w:val="28"/>
          <w:szCs w:val="28"/>
          <w:lang w:val="en-US" w:eastAsia="zh-CN" w:bidi="zh-TW"/>
        </w:rPr>
      </w:pPr>
      <w:r>
        <w:rPr>
          <w:rFonts w:hint="eastAsia" w:asciiTheme="minorEastAsia" w:hAnsiTheme="minorEastAsia" w:eastAsiaTheme="minorEastAsia" w:cstheme="minorEastAsia"/>
          <w:color w:val="000000"/>
          <w:kern w:val="2"/>
          <w:sz w:val="28"/>
          <w:szCs w:val="28"/>
          <w:lang w:val="en-US" w:eastAsia="zh-CN" w:bidi="zh-TW"/>
        </w:rPr>
        <w:t xml:space="preserve">                                          2023.10.29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28E8C"/>
    <w:multiLevelType w:val="singleLevel"/>
    <w:tmpl w:val="1E828E8C"/>
    <w:lvl w:ilvl="0" w:tentative="0">
      <w:start w:val="1"/>
      <w:numFmt w:val="decimal"/>
      <w:suff w:val="nothing"/>
      <w:lvlText w:val="%1、"/>
      <w:lvlJc w:val="left"/>
    </w:lvl>
  </w:abstractNum>
  <w:abstractNum w:abstractNumId="1">
    <w:nsid w:val="25B654F3"/>
    <w:multiLevelType w:val="singleLevel"/>
    <w:tmpl w:val="25B654F3"/>
    <w:lvl w:ilvl="0" w:tentative="0">
      <w:start w:val="1"/>
      <w:numFmt w:val="ideographDigital"/>
      <w:lvlText w:val="(%1)"/>
      <w:lvlJc w:val="left"/>
      <w:rPr>
        <w:rFonts w:ascii="宋体" w:hAnsi="宋体" w:eastAsia="宋体" w:cs="宋体"/>
        <w:b w:val="0"/>
        <w:bCs w:val="0"/>
        <w:i w:val="0"/>
        <w:iCs w:val="0"/>
        <w:smallCaps w:val="0"/>
        <w:strike w:val="0"/>
        <w:color w:val="000000"/>
        <w:spacing w:val="0"/>
        <w:w w:val="100"/>
        <w:position w:val="0"/>
        <w:sz w:val="22"/>
        <w:szCs w:val="22"/>
        <w:u w:val="none"/>
        <w:shd w:val="clear" w:color="auto" w:fill="auto"/>
        <w:lang w:val="zh-TW" w:eastAsia="zh-TW" w:bidi="zh-TW"/>
      </w:rPr>
    </w:lvl>
  </w:abstractNum>
  <w:abstractNum w:abstractNumId="2">
    <w:nsid w:val="68543EA2"/>
    <w:multiLevelType w:val="multilevel"/>
    <w:tmpl w:val="68543EA2"/>
    <w:lvl w:ilvl="0" w:tentative="0">
      <w:start w:val="1"/>
      <w:numFmt w:val="japaneseCounting"/>
      <w:lvlText w:val="%1、"/>
      <w:lvlJc w:val="left"/>
      <w:pPr>
        <w:tabs>
          <w:tab w:val="left" w:pos="660"/>
        </w:tabs>
        <w:ind w:left="660" w:hanging="480"/>
      </w:pPr>
      <w:rPr>
        <w:rFonts w:hint="default"/>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U0MzViYTE2YWNmNWY0MDBlNDkyZTBkZWZlZWJjMzgifQ=="/>
  </w:docVars>
  <w:rsids>
    <w:rsidRoot w:val="00000000"/>
    <w:rsid w:val="00B670BC"/>
    <w:rsid w:val="00C27191"/>
    <w:rsid w:val="03082583"/>
    <w:rsid w:val="068247BE"/>
    <w:rsid w:val="09081819"/>
    <w:rsid w:val="0BA917AA"/>
    <w:rsid w:val="0DD44D4A"/>
    <w:rsid w:val="0E3C6580"/>
    <w:rsid w:val="0FD70B4D"/>
    <w:rsid w:val="106F627C"/>
    <w:rsid w:val="107A5789"/>
    <w:rsid w:val="12E52961"/>
    <w:rsid w:val="149731E2"/>
    <w:rsid w:val="154871D8"/>
    <w:rsid w:val="15E53BE4"/>
    <w:rsid w:val="15F179CD"/>
    <w:rsid w:val="16B25250"/>
    <w:rsid w:val="16DA36B1"/>
    <w:rsid w:val="17987A91"/>
    <w:rsid w:val="183548FF"/>
    <w:rsid w:val="18AB2F19"/>
    <w:rsid w:val="18C12F58"/>
    <w:rsid w:val="193B777F"/>
    <w:rsid w:val="1B687AEF"/>
    <w:rsid w:val="1C6F0CD8"/>
    <w:rsid w:val="210B51CC"/>
    <w:rsid w:val="21101D83"/>
    <w:rsid w:val="21200D46"/>
    <w:rsid w:val="212E3725"/>
    <w:rsid w:val="22011E57"/>
    <w:rsid w:val="22A87507"/>
    <w:rsid w:val="239B2BEC"/>
    <w:rsid w:val="24E706F0"/>
    <w:rsid w:val="25AF1F4D"/>
    <w:rsid w:val="27886539"/>
    <w:rsid w:val="290910F6"/>
    <w:rsid w:val="29FF0F50"/>
    <w:rsid w:val="2B9351F9"/>
    <w:rsid w:val="2D974C47"/>
    <w:rsid w:val="2EFD5DDF"/>
    <w:rsid w:val="30382019"/>
    <w:rsid w:val="32836AB1"/>
    <w:rsid w:val="34A35F40"/>
    <w:rsid w:val="35C068D7"/>
    <w:rsid w:val="369D6F2B"/>
    <w:rsid w:val="38EC6D05"/>
    <w:rsid w:val="39163079"/>
    <w:rsid w:val="399436ED"/>
    <w:rsid w:val="3B824942"/>
    <w:rsid w:val="3BE85D67"/>
    <w:rsid w:val="3CC47B98"/>
    <w:rsid w:val="3CD37DFA"/>
    <w:rsid w:val="3DB72D36"/>
    <w:rsid w:val="42201CAB"/>
    <w:rsid w:val="426139A6"/>
    <w:rsid w:val="430461AC"/>
    <w:rsid w:val="46254115"/>
    <w:rsid w:val="4A272724"/>
    <w:rsid w:val="4C7C76E1"/>
    <w:rsid w:val="4D595A22"/>
    <w:rsid w:val="4F2066D0"/>
    <w:rsid w:val="5376237B"/>
    <w:rsid w:val="53883E95"/>
    <w:rsid w:val="55B639BD"/>
    <w:rsid w:val="565C4E9C"/>
    <w:rsid w:val="57090ED6"/>
    <w:rsid w:val="573568B4"/>
    <w:rsid w:val="59286C8F"/>
    <w:rsid w:val="5A700D18"/>
    <w:rsid w:val="5AB032F4"/>
    <w:rsid w:val="5B7A60F9"/>
    <w:rsid w:val="5C3A52C9"/>
    <w:rsid w:val="5EE60E43"/>
    <w:rsid w:val="5FE5356E"/>
    <w:rsid w:val="62CD0B21"/>
    <w:rsid w:val="64740673"/>
    <w:rsid w:val="68C079EA"/>
    <w:rsid w:val="6C60251C"/>
    <w:rsid w:val="6CA71517"/>
    <w:rsid w:val="6D3F7144"/>
    <w:rsid w:val="6EFD5ABC"/>
    <w:rsid w:val="6F4E3ABD"/>
    <w:rsid w:val="71143971"/>
    <w:rsid w:val="713524B5"/>
    <w:rsid w:val="72031631"/>
    <w:rsid w:val="7369230A"/>
    <w:rsid w:val="7494577F"/>
    <w:rsid w:val="765C18D9"/>
    <w:rsid w:val="766F7D8D"/>
    <w:rsid w:val="76E70516"/>
    <w:rsid w:val="79817453"/>
    <w:rsid w:val="7B18435D"/>
    <w:rsid w:val="7B834776"/>
    <w:rsid w:val="7B960FFE"/>
    <w:rsid w:val="7D1F7C67"/>
    <w:rsid w:val="7EB65E60"/>
    <w:rsid w:val="7ED84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Body text|1"/>
    <w:basedOn w:val="1"/>
    <w:qFormat/>
    <w:uiPriority w:val="0"/>
    <w:pPr>
      <w:spacing w:line="427" w:lineRule="auto"/>
    </w:pPr>
    <w:rPr>
      <w:rFonts w:ascii="宋体" w:hAnsi="宋体" w:cs="宋体"/>
      <w:sz w:val="22"/>
      <w:szCs w:val="22"/>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483</Words>
  <Characters>601</Characters>
  <Lines>0</Lines>
  <Paragraphs>0</Paragraphs>
  <TotalTime>14</TotalTime>
  <ScaleCrop>false</ScaleCrop>
  <LinksUpToDate>false</LinksUpToDate>
  <CharactersWithSpaces>716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2020-11-14T08:02:00Z</dcterms:created>
  <dc:creator>H&amp;M</dc:creator>
  <cp:lastModifiedBy>雪凝梦凌</cp:lastModifiedBy>
  <dcterms:modified xsi:type="dcterms:W3CDTF">2023-11-08T01:40:48Z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2A789833A8BB46D7A011F2AA7E197329</vt:lpwstr>
  </property>
  <property fmtid="{D5CDD505-2E9C-101B-9397-08002B2CF9AE}" pid="4" name="commondata">
    <vt:lpwstr>eyJoZGlkIjoiYmU0Y2U5MjAwMTkyNWRjMzM2OGU2MzM4ZjY2ZmNlMDUifQ==</vt:lpwstr>
  </property>
</Properties>
</file>