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5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634"/>
        <w:gridCol w:w="1744"/>
        <w:gridCol w:w="7798"/>
        <w:gridCol w:w="735"/>
        <w:gridCol w:w="735"/>
        <w:gridCol w:w="705"/>
        <w:gridCol w:w="837"/>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7" w:hRule="atLeast"/>
          <w:jc w:val="center"/>
        </w:trPr>
        <w:tc>
          <w:tcPr>
            <w:tcW w:w="14503" w:type="dxa"/>
            <w:gridSpan w:val="8"/>
            <w:shd w:val="clear"/>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高新区S239（主通道）(K86+850)动态称重检测点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序号</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名称</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工程量清单参数描述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单位</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数量</w:t>
            </w:r>
          </w:p>
        </w:tc>
        <w:tc>
          <w:tcPr>
            <w:tcW w:w="70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单价</w:t>
            </w:r>
          </w:p>
        </w:tc>
        <w:tc>
          <w:tcPr>
            <w:tcW w:w="837"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合计（元）</w:t>
            </w:r>
          </w:p>
        </w:tc>
        <w:tc>
          <w:tcPr>
            <w:tcW w:w="1315" w:type="dxa"/>
            <w:shd w:val="clear"/>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一、</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公路车辆动态称重检测设备</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sz w:val="21"/>
                <w:szCs w:val="21"/>
                <w:u w:val="none"/>
              </w:rPr>
            </w:pP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称重控制器</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z w:val="21"/>
                <w:szCs w:val="21"/>
                <w:bdr w:val="none" w:color="auto" w:sz="0" w:space="0"/>
                <w:lang w:val="en-US" w:eastAsia="zh-CN" w:bidi="ar"/>
              </w:rPr>
              <w:t xml:space="preserve">1.▲准确度等级Ⅲ级，n≥2000 </w:t>
            </w:r>
            <w:r>
              <w:rPr>
                <w:rStyle w:val="7"/>
                <w:rFonts w:hint="eastAsia" w:ascii="宋体" w:hAnsi="宋体" w:eastAsia="宋体" w:cs="宋体"/>
                <w:sz w:val="21"/>
                <w:szCs w:val="21"/>
                <w:bdr w:val="none" w:color="auto" w:sz="0" w:space="0"/>
                <w:lang w:val="en-US" w:eastAsia="zh-CN" w:bidi="ar"/>
              </w:rPr>
              <w:t>投标文件中须提供中华人民共和国《计量器具型式批准证书》和《计量器具型式评价报告》的复印件并加盖原厂公章；须与动态公路车辆自动衡器《计量器具型式评价报告》中所描述记录的称重显示控制器型号和外观一致；</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2.称重显示控制器具有独立不锈钢壳体和硬件铅封装置，动静态称重功能须均由称重显示控制器独立完成，防止人为篡改计量参数。静态称重时显示秤台上加载的重量，便于作为控制衡器采集轴重；动态称重下车辆匀速驶过秤台，称重显示控制器根据分车设备的输入信号自动判轴计重，轴序号、轴重、轴速、车型、总重、车速可即时显示，实现自动检测通过称量区的道路运输车辆的时间、轴数、速度、单轴、轴重、车货总重、轴距、轴型、胎型等信息；</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3.称重显示控制器系统采用模块化的称重数据处理技术，平均无故障时间 MTBF≥ 20000 小时；</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4.断电时，动态公路车辆自动衡器应能自动存储当前已设置的参数和称重信息，数据缓存不少于 7 天；</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5.断电情况下动态公路车辆自动衡器内部时钟运行时间应不小于 72 天。                                                                                                   ▲所投称重产品的制造商具有有效期内的ISO9001质量管理体系认证证书、ISO14001 环境管理体系认证证书和ISO27001 信息安全管理体系认证证书，证书内容须包含电子衡器、称重传感器、称重显示控制器的设计制造和维护服务相关内容，</w:t>
            </w:r>
            <w:r>
              <w:rPr>
                <w:rStyle w:val="6"/>
                <w:rFonts w:hint="eastAsia" w:ascii="宋体" w:hAnsi="宋体" w:eastAsia="宋体" w:cs="宋体"/>
                <w:b/>
                <w:bCs/>
                <w:sz w:val="21"/>
                <w:szCs w:val="21"/>
                <w:bdr w:val="none" w:color="auto" w:sz="0" w:space="0"/>
                <w:lang w:val="en-US" w:eastAsia="zh-CN" w:bidi="ar"/>
              </w:rPr>
              <w:t>提供证书复印件及国家认证认可监督管理委员会官方网站www.cnca.gov.cn下载的认证查询结果，全部加盖原厂公章。</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noWrap/>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34" w:type="dxa"/>
            <w:vMerge w:val="restart"/>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1744" w:type="dxa"/>
            <w:vMerge w:val="restart"/>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动态汽车衡</w:t>
            </w:r>
          </w:p>
        </w:tc>
        <w:tc>
          <w:tcPr>
            <w:tcW w:w="7798" w:type="dxa"/>
            <w:vMerge w:val="restart"/>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一、动态公路车辆自动衡器：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准确度等级：符合国标GB/T 21296-2020《动态公路车辆自动衡器》标准，整车总重量的准确度等级5级，动态公路车辆自动衡器允许车辆通过称量区域的最高运行速度=100km/h,最低运行速度=0.5km/h，最大单轴或轴组载荷=40吨；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秤台材质及尺寸；Q345合金钢，台面钢板厚度≥20mm，单台面尺寸行车方向长度≥600mm ，横向宽度≥1200mm（非组合式尺寸）；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首次检定最大允许误差±2.50％，使用中检验最大允许误差±5.00％；满足国家计量检定标准《JJG 907-2006》，通过法定计量检测部门的检定并取得合格证；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▲耐腐蚀性抗盐雾性能符合国标GB/T 2423.17-2008《电工电子产品环境试验》的相关要求规定, 试验溶液（5±1）% NaCl溶液；pH值6.5~7.2；试验箱温度（35±2）℃；每小时盐雾沉降量（1~2）ml/80 cm2；喷雾方式为持续喷雾；盐雾试验在≥150小时后无明显锈蚀，</w:t>
            </w:r>
            <w:r>
              <w:rPr>
                <w:rFonts w:hint="eastAsia" w:ascii="宋体" w:hAnsi="宋体" w:eastAsia="宋体" w:cs="宋体"/>
                <w:b/>
                <w:bCs/>
                <w:i w:val="0"/>
                <w:iCs w:val="0"/>
                <w:color w:val="000000"/>
                <w:kern w:val="0"/>
                <w:sz w:val="21"/>
                <w:szCs w:val="21"/>
                <w:u w:val="none"/>
                <w:bdr w:val="none" w:color="auto" w:sz="0" w:space="0"/>
                <w:lang w:val="en-US" w:eastAsia="zh-CN" w:bidi="ar"/>
              </w:rPr>
              <w:t>提供具有CNAS资质的国家权威检测机构出具的检验报告复印件并加盖原厂公章;须与动态公路车辆自动衡器《计量器具型式评价报告》中所描述记录的动态公路车辆自动衡器名称和外观一致。同时提供检测机构的资质证书复印件或官网查询截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异常行车判断：能够对于非正常行驶行为进行准确称量，包括并不限于 1） 断续行驶每轴停3min；2）压秤台接缝处行驶；3）跨双车道沿中线行驶；4）跨多秤台 S 型行驶； 5）跨双车道沿中线 S 型行驶；6）跨车道斜向行驶；7）双车同向并行；8）双车反向行驶同时称重；9）单板称重；10）多次正向、倒车重复行驶；11）三车同向并行；12）连续跟车分车称重；13）双车跨道并行等；投标文件须提供市级计量测试研究院出具的合格检测报告复印件并加盖原厂公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秤台承载器采用标准模块化独立的称重传感器设计；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▲秤台表面部件须采用防松脱结构，安装盖板、螺母具备有效的防脱落措施。</w:t>
            </w:r>
            <w:r>
              <w:rPr>
                <w:rFonts w:hint="eastAsia" w:ascii="宋体" w:hAnsi="宋体" w:eastAsia="宋体" w:cs="宋体"/>
                <w:b/>
                <w:bCs/>
                <w:i w:val="0"/>
                <w:iCs w:val="0"/>
                <w:color w:val="000000"/>
                <w:kern w:val="0"/>
                <w:sz w:val="21"/>
                <w:szCs w:val="21"/>
                <w:u w:val="none"/>
                <w:bdr w:val="none" w:color="auto" w:sz="0" w:space="0"/>
                <w:lang w:val="en-US" w:eastAsia="zh-CN" w:bidi="ar"/>
              </w:rPr>
              <w:t>投标文件须提供国家权威检测机构出具的证书并加盖原厂公章。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秤台承载器为全自动化焊接，表面抛丸除锈，消除焊接应力；</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▲所投称重产品的制造商应用先进的信息技术、自动化技术和智能化装备,以提高生产效率和质量等智能制造能力，依据GB/T 39116-2020《智能制造能力成熟度模型》、GB/T39117-2020《智能制造能力成熟度评估方法》国家标准，达到智能制造能力成熟度等级三级，</w:t>
            </w:r>
            <w:r>
              <w:rPr>
                <w:rFonts w:hint="eastAsia" w:ascii="宋体" w:hAnsi="宋体" w:eastAsia="宋体" w:cs="宋体"/>
                <w:b/>
                <w:bCs/>
                <w:i w:val="0"/>
                <w:iCs w:val="0"/>
                <w:color w:val="000000"/>
                <w:kern w:val="0"/>
                <w:sz w:val="21"/>
                <w:szCs w:val="21"/>
                <w:u w:val="none"/>
                <w:bdr w:val="none" w:color="auto" w:sz="0" w:space="0"/>
                <w:lang w:val="en-US" w:eastAsia="zh-CN" w:bidi="ar"/>
              </w:rPr>
              <w:t>提供证书复印件加盖原厂公章和智能制造评估评价公共服务平台的认证查询截图，同时提供发证机构资质的查询截图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称重秤台满足GB/T3075-2008«金属材料疲劳试验轴向力控制方法»、《动态公路车辆自动衡器强度试验大纲》的要求，秤台满足单轮最大额定载荷20吨（加载力等同于196.2kn），即单轴最大额定载荷40吨，连续加载三百万次后秤台未有变形或裂纹产生。继续秤台满足单轮最大加载载荷30吨（加载力等同于294.3KN），即单轴最大加载载荷60吨，连续加载十万次后秤台未有变形或裂纹产生，提供具有CMA和CNAS资质的国家权威检测机构出具的检验报告复印件，加盖原厂公章。须与动态公路车辆自动衡器《计量器具型式评价报告》中所描述记录的动态公路车辆自动衡器型号和外观一致。同时提供检测机构的资质证书复印件或官网查询截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▲所投动态公路车辆自动衡器的制造商采用耐磨性涂料，满足GB/T 1768-2006《色漆和清漆 耐磨性的测定 旋转橡胶砂轮法》的要求，耐磨性g(750g/550r、砂轮型号：CS-10)的检验要求达到≤0.04，</w:t>
            </w:r>
            <w:r>
              <w:rPr>
                <w:rFonts w:hint="eastAsia" w:ascii="宋体" w:hAnsi="宋体" w:eastAsia="宋体" w:cs="宋体"/>
                <w:b/>
                <w:bCs/>
                <w:i w:val="0"/>
                <w:iCs w:val="0"/>
                <w:color w:val="000000"/>
                <w:kern w:val="0"/>
                <w:sz w:val="21"/>
                <w:szCs w:val="21"/>
                <w:u w:val="none"/>
                <w:bdr w:val="none" w:color="auto" w:sz="0" w:space="0"/>
                <w:lang w:val="en-US" w:eastAsia="zh-CN" w:bidi="ar"/>
              </w:rPr>
              <w:t>提供具有CMA和CNAS资质的国家权威检测机构出具的检验报告复印件，加盖原厂公章。同时提供检测机构的资质证书复印件或官网查询截图。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排水要求：排水畅通，管线布设易维护；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用于识别总重量和轴载超限可疑车辆的公路动态车辆称重设备的整车总重量的置信度应不小于 95%；分度值d应满足50kg≤d≤200kg，其所有的称量指示和打印装置应具有相同的分度值；</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最小秤量应不小于10d；</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使用寿命应≥5年；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▲所投称重产品的制造商具有中国合格评定国家认可委员会ISO/IEC 17025实验室认可证书，具备认可的校准和测量能力范围满足最大称重150吨，证书有效性可登录www.cnas.org.cn 获认可的机构名录查询，</w:t>
            </w:r>
            <w:r>
              <w:rPr>
                <w:rFonts w:hint="eastAsia" w:ascii="宋体" w:hAnsi="宋体" w:eastAsia="宋体" w:cs="宋体"/>
                <w:b/>
                <w:bCs/>
                <w:i w:val="0"/>
                <w:iCs w:val="0"/>
                <w:color w:val="000000"/>
                <w:kern w:val="0"/>
                <w:sz w:val="21"/>
                <w:szCs w:val="21"/>
                <w:u w:val="none"/>
                <w:bdr w:val="none" w:color="auto" w:sz="0" w:space="0"/>
                <w:lang w:val="en-US" w:eastAsia="zh-CN" w:bidi="ar"/>
              </w:rPr>
              <w:t>提供证书复印件和信息查询的网页截图，加盖原厂公章。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二、称重传感器：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电阻应变式称重传感器，准确度等级≥C2，提供中华人民共和国《计量器具型式批准证书》和《计量器具型式评价报告》的复印件加盖原厂公章，须与动态公路车辆自动衡器《计量器具型式评价报告》中所描述记录的称重传感器型号和外观一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单只传感器额定容量：≥15t，安全过载 150%，极限过载≥250%，具备过载保护功能；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单只称重传感器在14kN-140kN载荷下经过100万次疲劳试验后未断裂, 须提供第三方机构出具的检验报告复印件并加盖原厂公章。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▲为保证称重数据的可靠稳定性，满足道路环境潮湿的使用要求，称重传感器须为全不锈钢材质，表面化学抛光处理和激光焊接密封，</w:t>
            </w:r>
            <w:r>
              <w:rPr>
                <w:rFonts w:hint="eastAsia" w:ascii="宋体" w:hAnsi="宋体" w:eastAsia="宋体" w:cs="宋体"/>
                <w:b/>
                <w:bCs/>
                <w:i w:val="0"/>
                <w:iCs w:val="0"/>
                <w:color w:val="000000"/>
                <w:kern w:val="0"/>
                <w:sz w:val="21"/>
                <w:szCs w:val="21"/>
                <w:u w:val="none"/>
                <w:bdr w:val="none" w:color="auto" w:sz="0" w:space="0"/>
                <w:lang w:val="en-US" w:eastAsia="zh-CN" w:bidi="ar"/>
              </w:rPr>
              <w:t>须提供实物照片，与称重传感器《计量器具型式评价报告》所描述的实物照片一致，称重传感器的产品标签(含计量器具型式批准证书的专用CPA标志、规格型号、出厂编号、准确度等级等)及相关技术图纸复印件并加盖原厂公章。不锈钢材料须提供原厂质量证明书复印件和原材料厂盖公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称重传感器外壳防护性能符合国标GB4208《外壳防护等级（IP代码）》的相关要求规定，防护等级达到IP68，投标文件须提供具有CMA资质的国家权威检测机构出具的检验报告复印件并加盖原厂公章。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称重传感器的抗振动、冲击性能符合国标GB/T2423《电工电子产品环境试验》的相关要求规定。</w:t>
            </w:r>
          </w:p>
        </w:tc>
        <w:tc>
          <w:tcPr>
            <w:tcW w:w="735" w:type="dxa"/>
            <w:vMerge w:val="restart"/>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道</w:t>
            </w:r>
          </w:p>
        </w:tc>
        <w:tc>
          <w:tcPr>
            <w:tcW w:w="735" w:type="dxa"/>
            <w:vMerge w:val="restart"/>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705" w:type="dxa"/>
            <w:vMerge w:val="restart"/>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vMerge w:val="restart"/>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vMerge w:val="restart"/>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路宽23.6米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34" w:type="dxa"/>
            <w:vMerge w:val="continue"/>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744" w:type="dxa"/>
            <w:vMerge w:val="continue"/>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798" w:type="dxa"/>
            <w:vMerge w:val="continue"/>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c>
          <w:tcPr>
            <w:tcW w:w="735" w:type="dxa"/>
            <w:vMerge w:val="continue"/>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35" w:type="dxa"/>
            <w:vMerge w:val="continue"/>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05" w:type="dxa"/>
            <w:vMerge w:val="continue"/>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vMerge w:val="continue"/>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vMerge w:val="continue"/>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线圈车辆检测线圈及检测器</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地感线圈电缆应具有耐磨、防水、耐寒、耐油耐汽油混合物，不易燃烧，不易老化，环保等特点；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使用温度：-60～+105℃；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导体：绞合镀锡铜线；绝缘：聚氯乙烯（PVC）；</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护套：玻璃纤维编织+腊克涂覆；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每车道线圈电感量在 100mH~200mH；</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电感量自调谐范围 20-1000uH,Q 值≥5；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车辆检测器电感量自调谐范围：30~1000uH，Q值≥5，馈线长度最长可达500m；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灵敏度(-ΔL/L)：0.02%~1.28%，每通道面板 3 位 DIP 开关7级可选；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频率范围：30~160KHz，内部 DIP 开关 4 级可调（高、中高、中低、低）；</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工作模式设置：自动重调谐，防锁，节能，同步方式，地址；面板显示：4个通道检测状态指示（DETECT），4个通道故障状态指示（FAULT）；</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输出配置：4 路检测输出（存在式），光电隔离；</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漂移补偿率：每分钟 0.12% ΔL/L 的比率对环境进行自动跟踪补偿；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有限存在时间：20秒~4分钟可选；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电源监测及看门狗：内置硬件看门狗，板载低电压监测复位电路；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串行数据通信接口：可选 RS-485 总线通信接口与上位机或高清相机对接，数据格式为 1/8/1/N，波特率为 19.2Kbps 或 9.6Kbps；</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工作参数存储：采用 EEPROM 保存远程设定的工作参数，掉电不丢失；</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保护：线圈输入端变压器隔离，齐纳管、气体放电管保护；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供电电源：+12~40VDC，工作电源：5VDC@80mA；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工作环境：工作温度-20℃~+65℃；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储存温度：-40℃~+85℃；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工作响应时间：25.6ms±0.8ms；</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同步功能：在同一检测截面同时使用多台检测器时，启用时间同步器并结合差频选择，可有效消除非宿主线圈之间的频率串扰；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线圈故障自恢复：当感应线圈故障解除后，能够自动恢复正常检测状态。</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称重控制机柜</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 外形尺寸：1800*700*700mm （高*宽*深）。</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 机架规格：标准19英寸机架，28U，深485mm。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 材质：镀锌钢板，U柱厚度为2mm，其它部位1-1.5mm。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 结构类型：焊接结构。</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 隔热设计：壁板及柜门均为双层钢板，夹层填充隔热材料。</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 表面处理方式：静电喷涂。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 颜色：浅灰色，RAL7035。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 柜门类型：前后开门，旋把式柜锁。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 机柜柜门内侧设置文件筐，便于放置调试手册；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10、托盘类型及数量：4块固定式设备托盘，1套抽拉托盘。</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11、散热和加热设计：全封闭结构，柜内外空气循环完全隔离。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12、散热和加热设备及工作方式：机柜专用空调，半嵌入式室外机柜空调。</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路面硬化</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沿车行方向，在设备安装位置，开挖30000mm长，传感器安装板块稍宽、其他板块宽度与实际路宽一致的基坑，深度不低于350mm，采用C40的钢筋混凝土进行浇筑；</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车道</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交通安全设施费</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项目施工交通安全组织设施</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称重系统检定费</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3年共7次检定，首次检定最大允许误差±2.50％，使用中检验最大允许误差±5.00％；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满足国家计量检定标准《JJG 907-2006》，通过法定计量检测部门的检定并取得合格证；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初始标定，使用2轴、4轴及6轴货车依次对称重设备进行自检标定。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每个车在每个车道上以不同的速度过车碾压不少于10次，保存标定参数并做好数据记录</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二、</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车辆识别及记录设备</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b/>
                <w:bCs/>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高清车牌识别摄像机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z w:val="21"/>
                <w:szCs w:val="21"/>
                <w:bdr w:val="none" w:color="auto" w:sz="0" w:space="0"/>
                <w:lang w:val="en-US" w:eastAsia="zh-CN" w:bidi="ar"/>
              </w:rPr>
              <w:t>1. 环保车辆人脸卡口抓拍单元由防护罩组件及高清智能摄像机组成，抓拍单元防护罩前面板具有防尘、防水功能，以及 LED补光灯；</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2. 内置摄像机采用双高清全局曝光CMOS，具有清晰度高、照度低、帧率高、色彩还原度好等特点。</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3. 采用多光谱融合技术，可以在晚间使用内置LED灯结合红外爆闪灯的情况下，仍得到全彩的图片。</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4. ▲设备的镜头和两个sensor一体化设计，具有独立三角分光棱镜分光结构装置，分别接收可见光和红外光。</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5. 采用两个1英寸900万像素全局曝光CMOS智能高清摄像机，最大分辨率可达4096×2160，帧率25帧。</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6. 支持白天用白光爆闪，晚上用内置灯加红外爆闪同步补光。</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7. ▲具有车灯去红光设置选项，开启后可去除车灯附近产生的红光。</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8. ▲配合爆闪灯，样机可穿透车窗遮光条显示驾驶员头部画面。</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9. ▲支持识别改装牛眼灯的大货车的车牌。</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10. ▲支持主驾驶人脸图、副驾驶人脸图、机动车图、车牌图、车辆特写图关联存储功能。</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11. 抓拍图片可看清前排司乘人员人脸，并可用于后端人脸比对。</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12. 支持视频触发模式。</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13. 支持车牌、车型、车身颜色、车辆主品牌及子品牌、挂坠、安全带、遮阳板等信息识别。</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14. 支持多种车牌种类识别：民用车牌，警用车牌，2012式新军用车牌，2012式武警车牌，新能源车牌。</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15. 支持多种常见颜色（白、灰、黄、红、紫、绿、蓝、棕、黑）识别。</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16. 支持多种车型识别：大客车、中型客车、大货车、小货车、面包车、小轿车及SUV。</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17. 支持车辆检测处理器（RS-485协议）、雷达、补光灯的接入。</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18. 支持远程数据上传，可将抓拍的图片上传给终端服务器、FTP服务器或者后端平台等。</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 50mm镜头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2.2</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高清前后侧抓拍摄像机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 包含摄像机、高清镜头、室外防护罩、内置补光灯、风扇、电源适配器、安装万向节等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 传感器类型：1英寸全局曝光CMOS（*2）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 设备的镜头和两个sensor一体化设计，具有独立三角分光棱镜分光结构装置，分别接收可见光和红外光。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 支持同时预览两路sensor视频，设备场景中放置红外LED常亮灯，朝向摄像机镜头，可见光路视频图像中补光灯灯珠完全无光，同时红外路视频图像补光灯可清晰看到灯珠亮光。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 具有去鬼影设置选项，开启后可消除画面中的鬼影现象。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 支持识别改装牛眼灯的大货车的车牌。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 抓拍图片具备智能压缩技术，可以保证在主体目标清晰的情况下压缩图片整体大小，平均压缩率可达到原图大小的30%。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 同步输入：SYNC信号灯电源同步输入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 触发输出：7路F+ F-输出接口，作为补光灯同步输出控制；一路继电器输出口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 通讯接口：4个RS-485接口,1个RS-232接口；2个RJ45 10M/100M/1000M自适应以太网口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11. 图片分辨率：4096(H)×2160(V)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12. 图片格式：JPEG</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13. 智能识别：目标检测：机动车抓拍，非机动抓拍，行人抓拍；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14. 违章检测：超速、压线、逆行、禁止大货车等违法行为；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15. 车辆特征检测：车牌识别、车型识别、车身颜色识别、违章检测、车辆品牌等特征检测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16. 内部组件：防尘、防水面板、LED补光灯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17. 帧率：25fps</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 25mm镜头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高清车尾抓拍摄像机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 包含摄像机、高清镜头、室外防护罩、内置补光灯、风扇、电源适配器、安装万向节等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 传感器类型：1英寸全局曝光CMOS（*2）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 设备的镜头和两个sensor一体化设计，具有独立三角分光棱镜分光结构装置，分别接收可见光和红外光。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 支持同时预览两路sensor视频，设备场景中放置红外LED常亮灯，朝向摄像机镜头，可见光路视频图像中补光灯灯珠完全无光，同时红外路视频图像补光灯可清晰看到灯珠亮光。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 具有去鬼影设置选项，开启后可消除画面中的鬼影现象。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 支持识别改装牛眼灯的大货车的车牌。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 抓拍图片具备智能压缩技术，可以保证在主体目标清晰的情况下压缩图片整体大小，平均压缩率可达到原图大小的30%。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 同步输入：SYNC信号灯电源同步输入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 触发输出：7路F+ F-输出接口，作为补光灯同步输出控制；一路继电器输出口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 通讯接口：4个RS-485接口,1个RS-232接口；2个RJ45 10M/100M/1000M自适应以太网口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11. 图片分辨率：4096(H)×2160(V)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12. 图片格式：JPEG</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13. 智能识别：目标检测：机动车抓拍，非机动抓拍，行人抓拍；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14. 违章检测：超速、压线、逆行、禁止大货车等违法行为；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15. 车辆特征检测：车牌识别、车型识别、车身颜色识别、违章检测、车辆品牌等特征检测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16. 内部组件：防尘、防水面板、LED补光灯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17. 帧率：25fps</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 25mm镜头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交通秩序车牌抓拍摄像机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 包含摄像机、高清镜头、室外防护罩、内置补光灯、风扇、电源适配器、安装万向节等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 传感器类型：1英寸全局曝光CMOS（*2）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 设备的镜头和两个sensor一体化设计，具有独立三角分光棱镜分光结构装置，分别接收可见光和红外光。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 支持同时预览两路sensor视频，设备场景中放置红外LED常亮灯，朝向摄像机镜头，可见光路视频图像中补光灯灯珠完全无光，同时红外路视频图像补光灯可清晰看到灯珠亮光。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 具有去鬼影设置选项，开启后可消除画面中的鬼影现象。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 支持识别改装牛眼灯的大货车的车牌。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 抓拍图片具备智能压缩技术，可以保证在主体目标清晰的情况下压缩图片整体大小，平均压缩率可达到原图大小的30%。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 同步输入：SYNC信号灯电源同步输入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 触发输出：7路F+ F-输出接口，作为补光灯同步输出控制；一路继电器输出口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 通讯接口：4个RS-485接口,1个RS-232接口；2个RJ45 10M/100M/1000M自适应以太网口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11. 图片分辨率：4096(H)×2160(V)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12. 图片格式：JPEG</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13. 智能识别：目标检测：机动车抓拍，非机动抓拍，行人抓拍；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14. 违章检测：超速、压线、逆行、禁止大货车等违法行为；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15. 车辆特征检测：车牌识别、车型识别、车身颜色识别、违章检测、车辆品牌等特征检测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16. 内部组件：防尘、防水面板、LED补光灯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17. 帧率：25fps</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 25mm镜头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2.5</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高清电子警察摄像机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z w:val="21"/>
                <w:szCs w:val="21"/>
                <w:bdr w:val="none" w:color="auto" w:sz="0" w:space="0"/>
                <w:lang w:val="en-US" w:eastAsia="zh-CN" w:bidi="ar"/>
              </w:rPr>
              <w:t>1. 包含摄像机、高清镜头、室外防护罩、内置补光灯、风扇、电源适配器、安装万向节等</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2. 传感器类型：1英寸全局曝光CMOS（*2）</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3. ▲设备的镜头和两个sensor一体化设计，具有独立三角分光棱镜分光结构装置，分别接收可见光和红外光。</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4. ▲支持同时预览两路sensor视频，设备场景中放置红外LED常亮灯，朝向摄像机镜头，可见光路视频图像中补光灯灯珠完全无光，同时红外路视频图像补光灯可清晰看到灯珠亮光。</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5. ▲具有去鬼影设置选项，开启后可消除画面中的鬼影现象。</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6. ▲支持识别改装牛眼灯的大货车的车牌。</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7. ▲抓拍图片具备智能压缩技术，可以保证在主体目标清晰的情况下压缩图片整体大小，平均压缩率可达到原图大小的30%。</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8. 同步输入：SYNC信号灯电源同步输入</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9. 触发输出：7路F+ F-输出接口，作为补光灯同步输出控制；一路继电器输出口</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10. 通讯接口：4个RS-485接口,1个RS-232接口；2个RJ45 10M/100M/1000M自适应以太网口</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11. 图片分辨率：4096(H)×2160(V)</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12. 图片格式：JPEG</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13. 智能识别：目标检测：机动车抓拍，非机动抓拍，行人抓拍；</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14. 违章检测：超速、压线、逆行、禁止大货车等违法行为；</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15. 车辆特征检测：车牌识别、车型识别、车身颜色识别、违章检测、车辆品牌等特征检测</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16. 内部组件：防尘、防水面板、LED补光灯</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17. 帧率：25fps</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 25mm镜头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高清LED屏抓拍摄像机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 包含摄像机、高清镜头、室外防护罩、内置补光灯、风扇、电源适配器、安装万向节等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 传感器类型：1英寸全局曝光CMOS（*2）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 设备的镜头和两个sensor一体化设计，具有独立三角分光棱镜分光结构装置，分别接收可见光和红外光。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 支持同时预览两路sensor视频，设备场景中放置红外LED常亮灯，朝向摄像机镜头，可见光路视频图像中补光灯灯珠完全无光，同时红外路视频图像补光灯可清晰看到灯珠亮光。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 具有去鬼影设置选项，开启后可消除画面中的鬼影现象。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 支持识别改装牛眼灯的大货车的车牌。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 抓拍图片具备智能压缩技术，可以保证在主体目标清晰的情况下压缩图片整体大小，平均压缩率可达到原图大小的30%。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 同步输入：SYNC信号灯电源同步输入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 触发输出：7路F+ F-输出接口，作为补光灯同步输出控制；一路继电器输出口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 通讯接口：4个RS-485接口,1个RS-232接口；2个RJ45 10M/100M/1000M自适应以太网口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11. 图片分辨率：4096(H)×2160(V)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12. 图片格式：JPEG</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13. 智能识别：目标检测：机动车抓拍，非机动抓拍，行人抓拍；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14. 违章检测：超速、压线、逆行、禁止大货车等违法行为；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15. 车辆特征检测：车牌识别、车型识别、车身颜色识别、违章检测、车辆品牌等特征检测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16. 内部组件：防尘、防水面板、LED补光灯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17. 帧率：25fps</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 25mm镜头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一体化补光灯</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 铝合金灯体，鳍片式散热结构，面罩采用特殊工艺的耐高温的PC材料，透光效果好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2. 采用24颗优质高亮度LED芯片，寿命长，稳定性好，发光效率高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3. 带LED格栅，有效减少周边光污染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4. 气体灯管采用优质高性能氙气灯管，质量可靠，寿命长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5. 采用步进电机功能，实现红外滤片的切换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6. LED控制采用先进的恒流驱动技术，电流控制准确、稳定，产品稳定性好、可靠性高，有效减少光衰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7. 气体光源回电时间小于67ms，支持超速连拍，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8. 气体补光控制具有峰值抑制功能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9. 支持LED灯频闪、白光气体爆闪，红外气体爆闪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 支持相机误触发保护功能，触发信号输入异常时自动保护、且自动恢复</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2.8</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高清球型摄像机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 传感器类型：1/1.8＂ progressive scan CMOS，双sensor架构</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 最低照度：彩色：0.0004 Lux @（F1.6，AGC ON），黑白：0.0001 Lux @（F1.6，AGC ON），0 Lux with IR</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 宽动态：120dB超宽动态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4. 光学变倍：35倍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5.焦距：5.9-206.5mm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6. 视场角：58.9-2.2度(广角-望远)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 红外照射距离：250m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 设备补光自动模式，设备具有亮度限制调节功能，限制等级在0~100可调。具有白光增强设置选项，开启后，在夜晚模式下，可开启白光灯，白光亮度等级在0~100可调</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 设备红外光利用率不小于80%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10. 防补光过曝：支持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11. 水平范围：360°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12. 主码流帧率分辨率：50Hz: 25fps (2560 × 1440, 1920 × 1080, 1280 × 960, 1280 × 720)，60Hz: 30fps (2560 × 1440, 1920 × 1080, 1280 × 960, 1280 × 720)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13. 视频压缩标准：MJPEG;H.264;H.265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14. 摄像机抓拍图片格式包括JPEG、JPEG2000、BMP、PNG及TIF</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15. 网络接口：RJ45网口，自适应10M/100M网络数据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16. SD卡扩展：支持Micro SD/Micro SDHC/Micro SDXC卡,最大支持256G</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17. 供电方式：AC24V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18. 在丢包率设置为20%且网络直连的环境下，网络延时设置为200ms，带宽限制为1Mbps情况下，画面预览正常不卡顿，且云台响应客户端控制命令的延时时间不大于200ms</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19. 防护：IP67; 6000V 防雷、防浪涌、防突波，符合GB/T17626.2/3/4/5/6四级标准 </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2.9</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前后监控抓拍龙门架（24m）</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表面和切口处均做镀锌处理：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采用热浸镀锌处理，镀锌量不小于 600g/m2；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抗风速度：不小于 35m/s；</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承受重量：不低于200Kg；</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净高 6.5米；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龙门架钢管壁厚不低于6mm；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含地锚；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立柱底部加2米高黄黑相间反光膜。</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双立杆含维修梯子和走廊；</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2.10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L型监控抓拍杆件</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高度6.5米，臂长6米；厚度5mm；底座钢板厚度20mm；挑臂夹角91度（+0.5度）；杆件表面需镀锌处理及喷塑。</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2.11</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前后监控抓拍龙门架（24m）基础</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含基础开挖、钢筋笼制作、支模、混凝土浇筑等</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2.12</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L型监控抓拍杆件基础</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含基础开挖、钢筋笼制作、支模、混凝土浇筑等</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三、</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视频监控设备</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b/>
                <w:bCs/>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高清球型摄像机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z w:val="21"/>
                <w:szCs w:val="21"/>
                <w:bdr w:val="none" w:color="auto" w:sz="0" w:space="0"/>
                <w:lang w:val="en-US" w:eastAsia="zh-CN" w:bidi="ar"/>
              </w:rPr>
              <w:t>1. 传感器类型：1/1.8＂ progressive scan CMOS，双sensor架构</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2. 最低照度：彩色：0.0004 Lux @（F1.6，AGC ON），黑白：0.0001 Lux @（F1.6，AGC ON），0 Lux with IR</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3. 宽动态：120dB超宽动态</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 xml:space="preserve">4. 光学变倍：35倍 </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5.焦距：5.9-206.5mm</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 xml:space="preserve">6. 视场角：58.9-2.2度(广角-望远) </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7. 红外照射距离：250m</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8. ▲设备补光自动模式，设备具有亮度限制调节功能，限制等级在0~100可调。具有白光增强设置选项，开启后，在夜晚模式下，可开启白光灯，白光亮度等级在0~100可调</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9. ▲设备红外光利用率不小于80%</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 xml:space="preserve">10. 防补光过曝：支持 </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11. 水平范围：360°</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12. 主码流帧率分辨率：50Hz: 25fps (2560 × 1440, 1920 × 1080, 1280 × 960, 1280 × 720)，60Hz: 30fps (2560 × 1440, 1920 × 1080, 1280 × 960, 1280 × 720)</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 xml:space="preserve">13. 视频压缩标准：MJPEG;H.264;H.265 </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14. ▲摄像机抓拍图片格式包括JPEG、JPEG2000、BMP、PNG及TIF</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 xml:space="preserve">15. 网络接口：RJ45网口，自适应10M/100M网络数据 </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16. SD卡扩展：支持Micro SD/Micro SDHC/Micro SDXC卡,最大支持256G</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17. 供电方式：AC24V</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18. ▲在丢包率设置为20%且网络直连的环境下，网络延时设置为200ms，带宽限制为1Mbps情况下，画面预览正常不卡顿，且云台响应客户端控制命令的延时时间不大于200ms</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 xml:space="preserve">19. 防护：IP67; 6000V 防雷、防浪涌、防突波，符合GB/T17626.2/3/4/5/6四级标准 </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终端服务器</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z w:val="21"/>
                <w:szCs w:val="21"/>
                <w:bdr w:val="none" w:color="auto" w:sz="0" w:space="0"/>
                <w:lang w:val="en-US" w:eastAsia="zh-CN" w:bidi="ar"/>
              </w:rPr>
              <w:t>1. 支持12路H.265、H.264编码混合自适应接入；</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2. ▲支持IP地址过滤、SSH开关自定义、ARP防攻击、视频水印等安全防护功能，具备强密码管理功能。支持WEB回话Session ID、数据传输加密、固件完整性等安全检验。</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3. 支持SDK、RTSP、ONVIF和GB28181添加相机通道；</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4. 支持图片存储展示，包括车辆卡口、违法、人脸、人体以及其他事件结构化图片数据;</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5. 支持视频预览、录像和回放，可配置录像计划，录像和图片存储空间可配置；</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6. 支持远程访问IP地址黑白名单设置功能。</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7. ▲可显示连接在设备网口上的前端设备的IP、设备名称、MAC地址、上行流量及下行流量等信息</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8. ▲可以将前拍后拍通道关联，并将无车牌或者车牌未识别的同一辆进行匹配合成</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9. 支持多个相机抓拍数据匹配合成，三种匹配策略可选；</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10. 支持多种字符叠加、图片合成模式；</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11. 支持车牌黑白名单布防比对，黑白名单是否上传平台可配；</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12. 支持双网隔离应用，可向两个隔离网络分别上传图片和视频数据；</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13. 支持LED屏（默认交通诱导屏和出入口LED显示屏），音柱对接发布，发布条件和内容可自定义；</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14. ▲18个10M/100M/1000M自适应RJ45接口(其中P1~P16与G1处于同一网段、G2处于另一网段)、2个1000M SFP光端接口(分别与G1、G2处于同一网段)</w:t>
            </w:r>
            <w:r>
              <w:rPr>
                <w:rStyle w:val="7"/>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6"/>
                <w:rFonts w:hint="eastAsia" w:ascii="宋体" w:hAnsi="宋体" w:eastAsia="宋体" w:cs="宋体"/>
                <w:sz w:val="21"/>
                <w:szCs w:val="21"/>
                <w:bdr w:val="none" w:color="auto" w:sz="0" w:space="0"/>
                <w:lang w:val="en-US" w:eastAsia="zh-CN" w:bidi="ar"/>
              </w:rPr>
              <w:br w:type="textWrapping"/>
            </w:r>
            <w:r>
              <w:rPr>
                <w:rStyle w:val="6"/>
                <w:rFonts w:hint="eastAsia" w:ascii="宋体" w:hAnsi="宋体" w:eastAsia="宋体" w:cs="宋体"/>
                <w:sz w:val="21"/>
                <w:szCs w:val="21"/>
                <w:bdr w:val="none" w:color="auto" w:sz="0" w:space="0"/>
                <w:lang w:val="en-US" w:eastAsia="zh-CN" w:bidi="ar"/>
              </w:rPr>
              <w:t>15. 硬盘接口：4个SATA接口</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四、</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信息发布设备</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b/>
                <w:bCs/>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F型杆可变情报板</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显示尺寸：≥3.84m×1.92m；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 P10全彩诱导屏</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 灯管驱动方式: 恒流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 温度范围-40~60℃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 亮度均匀性≥97%</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 视距：动态距离210m；静态距离250m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 控制方式：异步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 平整度≤1mm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 衰减率(工作3年) ≤20%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9. 像素封装：国产灯珠，1R1G1B灯珠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10.白平衡亮度：国产8000cd/㎡；</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11. 可视角：70°(H)/30°(V)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12.像素间距：10 (H) mm × 10 (V) 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13. 刷新率：4000 Hz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14. 峰值功耗：280W/㎡</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15. 平均功耗：90W/㎡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16. 工作温度：-40 ℃ ~ 65 ℃ </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F型杆杆件</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1、表面和切口处均做镀锌处理：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2、采用热浸镀锌处理，镀锌量不小于 600g/㎡；</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3、杆件要求整体成形；焊条采用T42；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4、抗风速度：不小于35m/s；</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5、承受重量：不低于500Kg；</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6、高8m*4.5m，净高6米；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7、含地锚；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8、立柱底部加黄黑相间反光膜。</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4.5</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F型杆杆件基础</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含基础开挖、钢筋笼制作、支模、混凝土浇筑等</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五、</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数据处理系统</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5.1</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数据处理计算机（含操作系统）</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 工业级无风扇嵌入式；（含操作系统、数据库）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 处理器主频不低于2.4GHz；</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 内存：8G内存；</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 硬盘：128GSSD+4TB监控级硬盘；</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 网口：2个10/100/1000Mbps  RJ45；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 4个USB 2.0接口；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 1个VGA接口；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 2个串口；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 工作温度：-5℃-50℃，支持设备过温保护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 工作湿度：5%-90%</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称重数据采集软件</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能进行站点分析、检测数据、合法运输、异常数据、电子抓拍、大件运输、超限运输、无效数据、数据筛选等功能；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能实现信息发布、视频监控、站点巡检、货车流量、预警信息、预警一张图、数据质量、轨迹查询、治超可视化看板等功能；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设有通行记录表、货车来源分析、24小时超限统计、日汇总统计表、超限率分类报表、吨位分类统计表、车牌识别率报表、轴型分析统计、站点考核月报、拦截标准日报表等；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具备服务器监控、设备监控、状态监控、状态上报、站点管理、线路管理、设备管理、日志管理等功能；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可进行预警条件（阈值）配置、基础配置、大件运输初筛配置项、货车流量分析配置表、视频监控配置、数据匹配配置、视频播放设置、现场执法模板、信息发布配置、用户管理、角色管理、登录验证等信息配置增加、编辑。</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异常行驶分析模块</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针对车辆的异常行驶行为进行检测与识别，形成异常行驶类型的判定结果；</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异常行驶行为的车辆进一步修正、完善轴重测量曲线，优化称重结果。</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5.4</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网络安全防火墙</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接口：8个千兆电口、1个CON配置口；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运行模式：路由模式、透明模式、混杂模式</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AAA服务：Portal认证、RADIUS认证、HWTACACS认证、PKI /CA（X.509格式）认证、域认证、CHAP验证、PAP验证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防火墙功能：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SOP虚拟防火墙技术，支持CPU、内存、存储等硬件资源划分的完全虚拟化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安全区域划分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可以防御Land、Smurf、Fraggle、Ping of Death、Tear Drop、IP Spoofing、IP分片报文、ARP欺骗、ARP主动反向查询、TCP报文标志位不合法超大ICMP报文、地址扫描、端口扫描、SYN Flood、UPD Flood、ICMP Flood、DNS Flood等多种恶意攻击</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病毒防护：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基于病毒特征进行检测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支持病毒库手动和自动升级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报文流处理模式</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支持HTTP、FTP、SMTP、POP3协议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支持的病毒类型：Backdoor、Email-Worm、IM-Worm、P2P-Worm、Trojan、AdWare、Virus等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支持病毒日志和报表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深度入侵防御：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支持对黑客攻击、蠕虫/病毒、木马、恶意代码、间谍软件/广告软件、DoS/DDoS等常见的攻击防御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支持缓冲区溢出、SQL注入、IDS/IPS逃逸等攻击的防御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支持攻击特征库的分类（根据攻击类型、目标机系统进行分类）、分级（分高、中、低、提示四级）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支持攻击特征库的手动和自动升级（TFTP和HTTP）</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支持对BT等P2P/IM识别和控制</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5.5</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工业级以太网交换机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24个10/100/1000M电口；工作温度：-40~80℃；工作湿度：＜95%；含配套光模块，支持SNMP网管，管理型交换机</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5.6</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电脑</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CPU i5，内存 8G，硬盘 256+1T，独立显卡，显示器 23.8</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5.7</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打印机</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最大打印幅面：A4</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最高分辨率：600×600dpi</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黑白打印速度：18ppm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彩色打印速度：4ppm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处理器：400MHz</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内存：标配：64MB，最大：64MB</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连接方式：USB</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六、</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供电、防雷接地与数据传输</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b/>
                <w:bCs/>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前端站点供电接入</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申请供电公司办理，提供AC220市电（含3年电费），供电接入挂表</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数据传输（含3年租赁费）</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每个检测点1条至数据中心，1条至公安交管部门，裸光纤接入链路免费质保期内的租用费用。运营商点对点独占单模双纤裸纤链路，链路综合光衰（含链路长度折算和接头损耗折算）不高于-18dB</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公安交警一条；交通执法一条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YJV3×10mm²</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250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接入点至机柜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YJV3×6mm²</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采集器到情报板供电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6.5</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RVV3×2.5mm²</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补光灯和摄像机分开供电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6.6</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RVV3×1mm²</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700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设备供电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6.7</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光缆</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单模12芯</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采集器到情报板传输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6.8</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室外网线</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超五类防水网线</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网络设备传输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信号线</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RVVP2×1.0mm²</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485信号触发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6.10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电源避雷器</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最大持续电压 385VAC</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标称放电电流 20KA(8/20μS)</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最大放电电流 40KA(8/20μS)</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限制电压 ≤1.8KV</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6.11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信号防雷器</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标称工作电压：6V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限制电压≤15V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标称放电电流：5KA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响应时间：1ns</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6.12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光纤收发器</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1、百兆1光1电 SC接口；2、工作温度：-40~80℃；3、工作湿度：＜95%；4、含电源；</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采集器到情报板传输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6.13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光纤熔接</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含光纤熔接</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6.14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接地系统</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室外机柜、龙门架接地等。采用40*40*2镀锌扁铁（长度根据现场情况定制）、40*2镀锌角铁（长度根据现场情况定制）</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含接地极、接地扁钢及环网接地线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6.15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管线敷设</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管线敷设。含开挖、埋管、回填、线缆敷设等</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750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6.16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φ60硅芯管</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φ60硅芯管</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1300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从采集器到情报板两根管，每根200米；从采集器到车牌四根管，每根25米；从采集器到车尾四根管，每根25米；供电接入点到机柜一根管200米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6.17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φ60镀锌钢管</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φ60镀锌钢管，用于过路线缆保护</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硬化路面到采集器，及跨路走线用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6.18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穿线手井</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80cm×80cm×80cm，杆体基础处</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6.19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机柜手井</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120cm×120cm×110cm，用于机柜旁进线</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6.20 </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辅材</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包括胶布、防水胶布、水晶头、铁丝、U型槽安装螺丝垫片、波纹管及其连接件、金属软管、压线端子、网络跳线、电源连接线、接地线铜鼻、扎带、膨胀螺丝套件、标签等。</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机柜内网络设备传输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七、</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交安设施</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7.1</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200米预告标志牌</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3200mm×2000mm，反光膜不低于Ⅳ类，符合国标要求</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与立杆配套使用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7.2</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200米预告标志牌F杆</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直径φ273、10mm厚的8米高镀锌钢管</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喷塑处理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7.3</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限高标志牌</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直径100cm，反光膜不低于Ⅳ类，符合国标要求</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固定在所有门架上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7.4</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热熔标线</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震荡线、白实线等</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平方米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7.5</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提示文字</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“称重”文字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7.6</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波形梁护栏</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3波护栏，SB级，含端头，立柱，柱帽、梁板等构件</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140</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7.7</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照明设施</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12米灯杆，整体热镀锌，外表白色喷塑，不低于200W LED投光灯。</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200米预告标志牌F杆基础</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含基础开挖、钢筋笼制作、支模、混凝土浇筑等</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7.9</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照明设施基础</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含基础开挖、钢筋笼制作、支模、混凝土浇筑等</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八、</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其它</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b/>
                <w:bCs/>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8.1</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系统集成费</w:t>
            </w:r>
          </w:p>
        </w:tc>
        <w:tc>
          <w:tcPr>
            <w:tcW w:w="7798"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含系统设计、集成等费用</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8.2</w:t>
            </w: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暂列金</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3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705"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50000</w:t>
            </w:r>
          </w:p>
        </w:tc>
        <w:tc>
          <w:tcPr>
            <w:tcW w:w="837"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50000</w:t>
            </w: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4"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744" w:type="dxa"/>
            <w:shd w:val="cle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合计（元）</w:t>
            </w:r>
          </w:p>
        </w:tc>
        <w:tc>
          <w:tcPr>
            <w:tcW w:w="7798"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1"/>
                <w:szCs w:val="21"/>
                <w:u w:val="none"/>
              </w:rPr>
            </w:pPr>
          </w:p>
        </w:tc>
        <w:tc>
          <w:tcPr>
            <w:tcW w:w="735"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1"/>
                <w:szCs w:val="21"/>
                <w:u w:val="none"/>
              </w:rPr>
            </w:pPr>
          </w:p>
        </w:tc>
        <w:tc>
          <w:tcPr>
            <w:tcW w:w="705" w:type="dxa"/>
            <w:shd w:val="clear"/>
            <w:vAlign w:val="center"/>
          </w:tcPr>
          <w:p>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1"/>
                <w:szCs w:val="21"/>
                <w:u w:val="none"/>
              </w:rPr>
            </w:pPr>
          </w:p>
        </w:tc>
        <w:tc>
          <w:tcPr>
            <w:tcW w:w="837" w:type="dxa"/>
            <w:shd w:val="clear"/>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1"/>
                <w:szCs w:val="21"/>
                <w:u w:val="none"/>
              </w:rPr>
            </w:pPr>
          </w:p>
        </w:tc>
        <w:tc>
          <w:tcPr>
            <w:tcW w:w="1315" w:type="dxa"/>
            <w:shd w:val="clear"/>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1"/>
                <w:szCs w:val="21"/>
                <w:u w:val="none"/>
              </w:rPr>
            </w:pPr>
          </w:p>
        </w:tc>
      </w:tr>
    </w:tbl>
    <w:p/>
    <w:p/>
    <w:tbl>
      <w:tblPr>
        <w:tblW w:w="14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606"/>
        <w:gridCol w:w="1620"/>
        <w:gridCol w:w="8715"/>
        <w:gridCol w:w="630"/>
        <w:gridCol w:w="780"/>
        <w:gridCol w:w="1039"/>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序号</w:t>
            </w:r>
          </w:p>
        </w:tc>
        <w:tc>
          <w:tcPr>
            <w:tcW w:w="1620"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名称</w:t>
            </w:r>
          </w:p>
        </w:tc>
        <w:tc>
          <w:tcPr>
            <w:tcW w:w="8715"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工程量清单参数描述</w:t>
            </w:r>
          </w:p>
        </w:tc>
        <w:tc>
          <w:tcPr>
            <w:tcW w:w="630"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单位</w:t>
            </w:r>
          </w:p>
        </w:tc>
        <w:tc>
          <w:tcPr>
            <w:tcW w:w="780"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数量</w:t>
            </w:r>
          </w:p>
        </w:tc>
        <w:tc>
          <w:tcPr>
            <w:tcW w:w="1039"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单价(元)</w:t>
            </w:r>
          </w:p>
        </w:tc>
        <w:tc>
          <w:tcPr>
            <w:tcW w:w="1112"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一</w:t>
            </w:r>
          </w:p>
        </w:tc>
        <w:tc>
          <w:tcPr>
            <w:tcW w:w="1620"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硬件</w:t>
            </w:r>
          </w:p>
        </w:tc>
        <w:tc>
          <w:tcPr>
            <w:tcW w:w="8715" w:type="dxa"/>
            <w:shd w:val="clear"/>
            <w:vAlign w:val="center"/>
          </w:tcPr>
          <w:p>
            <w:pPr>
              <w:jc w:val="center"/>
              <w:rPr>
                <w:rFonts w:hint="eastAsia" w:ascii="宋体" w:hAnsi="宋体" w:eastAsia="宋体" w:cs="宋体"/>
                <w:b/>
                <w:bCs/>
                <w:i w:val="0"/>
                <w:iCs w:val="0"/>
                <w:color w:val="000000"/>
                <w:sz w:val="21"/>
                <w:szCs w:val="21"/>
                <w:u w:val="none"/>
              </w:rPr>
            </w:pPr>
          </w:p>
        </w:tc>
        <w:tc>
          <w:tcPr>
            <w:tcW w:w="630" w:type="dxa"/>
            <w:shd w:val="clear"/>
            <w:vAlign w:val="center"/>
          </w:tcPr>
          <w:p>
            <w:pPr>
              <w:jc w:val="center"/>
              <w:rPr>
                <w:rFonts w:hint="eastAsia" w:ascii="宋体" w:hAnsi="宋体" w:eastAsia="宋体" w:cs="宋体"/>
                <w:b/>
                <w:bCs/>
                <w:i w:val="0"/>
                <w:iCs w:val="0"/>
                <w:color w:val="000000"/>
                <w:sz w:val="21"/>
                <w:szCs w:val="21"/>
                <w:u w:val="none"/>
              </w:rPr>
            </w:pPr>
          </w:p>
        </w:tc>
        <w:tc>
          <w:tcPr>
            <w:tcW w:w="780" w:type="dxa"/>
            <w:shd w:val="clear"/>
            <w:vAlign w:val="center"/>
          </w:tcPr>
          <w:p>
            <w:pPr>
              <w:jc w:val="center"/>
              <w:rPr>
                <w:rFonts w:hint="eastAsia" w:ascii="宋体" w:hAnsi="宋体" w:eastAsia="宋体" w:cs="宋体"/>
                <w:b/>
                <w:bCs/>
                <w:i w:val="0"/>
                <w:iCs w:val="0"/>
                <w:color w:val="000000"/>
                <w:sz w:val="21"/>
                <w:szCs w:val="21"/>
                <w:u w:val="none"/>
              </w:rPr>
            </w:pPr>
          </w:p>
        </w:tc>
        <w:tc>
          <w:tcPr>
            <w:tcW w:w="1039" w:type="dxa"/>
            <w:shd w:val="clear"/>
            <w:vAlign w:val="center"/>
          </w:tcPr>
          <w:p>
            <w:pPr>
              <w:jc w:val="center"/>
              <w:rPr>
                <w:rFonts w:hint="eastAsia" w:ascii="宋体" w:hAnsi="宋体" w:eastAsia="宋体" w:cs="宋体"/>
                <w:b/>
                <w:bCs/>
                <w:i w:val="0"/>
                <w:iCs w:val="0"/>
                <w:color w:val="000000"/>
                <w:sz w:val="21"/>
                <w:szCs w:val="21"/>
                <w:u w:val="none"/>
              </w:rPr>
            </w:pPr>
          </w:p>
        </w:tc>
        <w:tc>
          <w:tcPr>
            <w:tcW w:w="1112" w:type="dxa"/>
            <w:shd w:val="clear"/>
            <w:vAlign w:val="center"/>
          </w:tcPr>
          <w:p>
            <w:pPr>
              <w:jc w:val="center"/>
              <w:rPr>
                <w:rFonts w:hint="eastAsia" w:ascii="宋体" w:hAnsi="宋体" w:eastAsia="宋体" w:cs="宋体"/>
                <w:b/>
                <w:bCs/>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视频云存储服务器</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1,品牌及整体要求：2U机架式服务器，自主研发，本项不接受OEM产品投标</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所投产品必须为厂商官方网站非停产设备型号；</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2.处理器：配置≥2颗Intel Xeon 第三代 4316(20C,150W,2.3GHz) ；</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3.内存：本次配置≥128G DDR4内存；最大支持32根内存. 每个处理器支持8个内存通道, 每个通道最大支持2个内存插槽. 内存最大速度可达 3200MT/s.支持RDIMM与BPS内存. 内存保护支持ECC, 内存镜像, 内存等级保护；</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4.▲存储：本次配置≥2块 480G SATA SSD硬盘，10块16T 7.2K SATA硬盘；</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前置：24*2.5” SATA/SAS/NVME支持热插拔；25*2.5” SATA/SAS支持热插拔；12*2.5”/3.5” SATA/SAS/NVMe支持热插拔；</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后置：4*2.5” SATA/SAS/NVMe SSD支持热插拔；4*3.5” SATA/SAS SSD支持热插拔；10*2.5” SATA/SAS支持热插拔；可选2个SATA M.2或2个E1.s；</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内置：4*3.5” SATA/SAS不支持热插拔；最大支持2张TF卡，BIOS/BMC各一个</w:t>
            </w:r>
            <w:r>
              <w:rPr>
                <w:rStyle w:val="9"/>
                <w:rFonts w:hint="eastAsia" w:ascii="宋体" w:hAnsi="宋体" w:eastAsia="宋体" w:cs="宋体"/>
                <w:sz w:val="21"/>
                <w:szCs w:val="21"/>
                <w:bdr w:val="none" w:color="auto" w:sz="0" w:space="0"/>
                <w:lang w:val="en-US" w:eastAsia="zh-CN" w:bidi="ar"/>
              </w:rPr>
              <w:t>（提供官网截图证明并加盖原厂公章）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5.I/O扩展插槽：最大支持11个PCIe 插槽；</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支持4个双宽GPU或8个单宽GPU/显卡</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支持1个OCP3.0 x16网卡</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支持1个RAID Mezz卡；</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6.RAID卡：配置高性能SAS raid 卡 2G缓存;支持缓存断电保护模块；支持SAS/SATA/NVME混合模式;</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7.网络控制器：本次配置2块双口万兆网卡（含多模模块）；</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8.电源：本次配置2块800W电源模块；</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9.系统管理：集成1个独立的1000Mbps 网络接口，专门用于IPMI的远程管理；</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嵌入式管理：配置1Gb独立的远程管理控制端口；可实现与操作系统无关的远程对服务器的完全控制，包括远程的开机、关机、重启、更新Firmware、虚拟光驱、虚拟文件夹等操作，提供服务器健康日记、服务器控制台录屏/回放功能，能够提供电源监控，可支持动态功率封顶，支持中文BIOS界面设置；</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10.产品证书：提供3C认证、中国节能产品认证证书、中国环境标志产品认证证书（中国）、IECQ认证机构出具的服务器静电防护标准认证；</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服务器</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1.为方便运维人员操作，提供B/S和C/S两种虚拟机控制台使用方式，C/S客户端无任何授权限制，支持本地文件托拉拽到虚拟机内部且支持和本地共享粘贴板；</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 ▲支持虚拟机和裸金属服务器统一管理，支持对裸金属服务器远程电源管理、挂载安装ISO镜像等操作，可将虚拟机镜像部署为裸金属服务器操作系统，可查看裸金属服务器电源状态、CPU、内存、硬盘等硬件信息，支持打开裸金属服务器控制台进行运维操作</w:t>
            </w:r>
            <w:r>
              <w:rPr>
                <w:rStyle w:val="9"/>
                <w:rFonts w:hint="eastAsia" w:ascii="宋体" w:hAnsi="宋体" w:eastAsia="宋体" w:cs="宋体"/>
                <w:sz w:val="21"/>
                <w:szCs w:val="21"/>
                <w:bdr w:val="none" w:color="auto" w:sz="0" w:space="0"/>
                <w:lang w:val="en-US" w:eastAsia="zh-CN" w:bidi="ar"/>
              </w:rPr>
              <w:t>（需提供软件截图证明材料</w:t>
            </w:r>
            <w:r>
              <w:rPr>
                <w:rStyle w:val="10"/>
                <w:rFonts w:hint="eastAsia" w:ascii="宋体" w:hAnsi="宋体" w:eastAsia="宋体" w:cs="宋体"/>
                <w:sz w:val="21"/>
                <w:szCs w:val="21"/>
                <w:bdr w:val="none" w:color="auto" w:sz="0" w:space="0"/>
                <w:lang w:val="en-US" w:eastAsia="zh-CN" w:bidi="ar"/>
              </w:rPr>
              <w:t>并加盖原厂公章</w:t>
            </w:r>
            <w:r>
              <w:rPr>
                <w:rStyle w:val="9"/>
                <w:rFonts w:hint="eastAsia" w:ascii="宋体" w:hAnsi="宋体" w:eastAsia="宋体" w:cs="宋体"/>
                <w:sz w:val="21"/>
                <w:szCs w:val="21"/>
                <w:bdr w:val="none" w:color="auto" w:sz="0" w:space="0"/>
                <w:lang w:val="en-US" w:eastAsia="zh-CN" w:bidi="ar"/>
              </w:rPr>
              <w:t>）</w:t>
            </w:r>
            <w:r>
              <w:rPr>
                <w:rStyle w:val="8"/>
                <w:rFonts w:hint="eastAsia" w:ascii="宋体" w:hAnsi="宋体" w:eastAsia="宋体" w:cs="宋体"/>
                <w:sz w:val="21"/>
                <w:szCs w:val="21"/>
                <w:bdr w:val="none" w:color="auto" w:sz="0" w:space="0"/>
                <w:lang w:val="en-US" w:eastAsia="zh-CN" w:bidi="ar"/>
              </w:rPr>
              <w:t>；</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3.▲支持在线跨云迁移功能，在管理界面内将其它站点虚拟机不中断的迁移到超融合平台内，跨云迁移的站点包括但不限于vSphere、投标品牌虚拟化平台等，迁移过程无需手动关机和重启操作</w:t>
            </w:r>
            <w:r>
              <w:rPr>
                <w:rStyle w:val="9"/>
                <w:rFonts w:hint="eastAsia" w:ascii="宋体" w:hAnsi="宋体" w:eastAsia="宋体" w:cs="宋体"/>
                <w:sz w:val="21"/>
                <w:szCs w:val="21"/>
                <w:bdr w:val="none" w:color="auto" w:sz="0" w:space="0"/>
                <w:lang w:val="en-US" w:eastAsia="zh-CN" w:bidi="ar"/>
              </w:rPr>
              <w:t>（需提供软件截图证明材料</w:t>
            </w:r>
            <w:r>
              <w:rPr>
                <w:rStyle w:val="10"/>
                <w:rFonts w:hint="eastAsia" w:ascii="宋体" w:hAnsi="宋体" w:eastAsia="宋体" w:cs="宋体"/>
                <w:sz w:val="21"/>
                <w:szCs w:val="21"/>
                <w:bdr w:val="none" w:color="auto" w:sz="0" w:space="0"/>
                <w:lang w:val="en-US" w:eastAsia="zh-CN" w:bidi="ar"/>
              </w:rPr>
              <w:t>并加盖原厂公章</w:t>
            </w:r>
            <w:r>
              <w:rPr>
                <w:rStyle w:val="9"/>
                <w:rFonts w:hint="eastAsia" w:ascii="宋体" w:hAnsi="宋体" w:eastAsia="宋体" w:cs="宋体"/>
                <w:sz w:val="21"/>
                <w:szCs w:val="21"/>
                <w:bdr w:val="none" w:color="auto" w:sz="0" w:space="0"/>
                <w:lang w:val="en-US" w:eastAsia="zh-CN" w:bidi="ar"/>
              </w:rPr>
              <w:t>）</w:t>
            </w:r>
            <w:r>
              <w:rPr>
                <w:rStyle w:val="8"/>
                <w:rFonts w:hint="eastAsia" w:ascii="宋体" w:hAnsi="宋体" w:eastAsia="宋体" w:cs="宋体"/>
                <w:sz w:val="21"/>
                <w:szCs w:val="21"/>
                <w:bdr w:val="none" w:color="auto" w:sz="0" w:space="0"/>
                <w:lang w:val="en-US" w:eastAsia="zh-CN" w:bidi="ar"/>
              </w:rPr>
              <w:t>；</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 提供云边协同管理功能，支持中心站点分发应用至各个边缘站点，可一键将中心站点已部署配置完毕的应用虚拟机迁移至各边缘站点，支持基于GIS技术的全局站点展示视图，实时查看各站点资源状态；</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5. 超融合支持外挂集中式存储，可配置对接存储的IP以及端口号，是否启用iSER协议，为保证数据安全，需支持单向和双向验证CHAP身份信息；</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6. ▲提供云网融合一体化图形管理界面，超融合管理平台支持纳管、配置和监控物理交换机设备，超融合管理平台界面支持设置物理交换机环路检测、端口速率、LLDP功能开关、端口聚合等；支持在超融合管理界面查看物理交换机各个端口信号灯状态、VLAN ID、连接状态、速率、带宽利用率、对端连接设备、光模块类型和匹配状态等信息</w:t>
            </w:r>
            <w:r>
              <w:rPr>
                <w:rStyle w:val="11"/>
                <w:rFonts w:hint="eastAsia" w:ascii="宋体" w:hAnsi="宋体" w:eastAsia="宋体" w:cs="宋体"/>
                <w:sz w:val="21"/>
                <w:szCs w:val="21"/>
                <w:bdr w:val="none" w:color="auto" w:sz="0" w:space="0"/>
                <w:lang w:val="en-US" w:eastAsia="zh-CN" w:bidi="ar"/>
              </w:rPr>
              <w:t>（</w:t>
            </w:r>
            <w:r>
              <w:rPr>
                <w:rStyle w:val="10"/>
                <w:rFonts w:hint="eastAsia" w:ascii="宋体" w:hAnsi="宋体" w:eastAsia="宋体" w:cs="宋体"/>
                <w:sz w:val="21"/>
                <w:szCs w:val="21"/>
                <w:bdr w:val="none" w:color="auto" w:sz="0" w:space="0"/>
                <w:lang w:val="en-US" w:eastAsia="zh-CN" w:bidi="ar"/>
              </w:rPr>
              <w:t>需提供截图证明材料并加盖原厂公章）</w:t>
            </w:r>
            <w:r>
              <w:rPr>
                <w:rStyle w:val="12"/>
                <w:rFonts w:hint="eastAsia" w:ascii="宋体" w:hAnsi="宋体" w:eastAsia="宋体" w:cs="宋体"/>
                <w:sz w:val="21"/>
                <w:szCs w:val="21"/>
                <w:bdr w:val="none" w:color="auto" w:sz="0" w:space="0"/>
                <w:lang w:val="en-US" w:eastAsia="zh-CN" w:bidi="ar"/>
              </w:rPr>
              <w:t>；</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7. ▲提供全局分布式SDN功能，以避免SDN控制节点故障，提供分布式SDN硬件加速能力，可提供更高转发性能，SDN支持VLAN/VXLAN模式</w:t>
            </w:r>
            <w:r>
              <w:rPr>
                <w:rStyle w:val="9"/>
                <w:rFonts w:hint="eastAsia" w:ascii="宋体" w:hAnsi="宋体" w:eastAsia="宋体" w:cs="宋体"/>
                <w:sz w:val="21"/>
                <w:szCs w:val="21"/>
                <w:bdr w:val="none" w:color="auto" w:sz="0" w:space="0"/>
                <w:lang w:val="en-US" w:eastAsia="zh-CN" w:bidi="ar"/>
              </w:rPr>
              <w:t>（需提供软件截图证明材料</w:t>
            </w:r>
            <w:r>
              <w:rPr>
                <w:rStyle w:val="10"/>
                <w:rFonts w:hint="eastAsia" w:ascii="宋体" w:hAnsi="宋体" w:eastAsia="宋体" w:cs="宋体"/>
                <w:sz w:val="21"/>
                <w:szCs w:val="21"/>
                <w:bdr w:val="none" w:color="auto" w:sz="0" w:space="0"/>
                <w:lang w:val="en-US" w:eastAsia="zh-CN" w:bidi="ar"/>
              </w:rPr>
              <w:t>并加盖原厂公章）</w:t>
            </w:r>
            <w:r>
              <w:rPr>
                <w:rStyle w:val="12"/>
                <w:rFonts w:hint="eastAsia" w:ascii="宋体" w:hAnsi="宋体" w:eastAsia="宋体" w:cs="宋体"/>
                <w:sz w:val="21"/>
                <w:szCs w:val="21"/>
                <w:bdr w:val="none" w:color="auto" w:sz="0" w:space="0"/>
                <w:lang w:val="en-US" w:eastAsia="zh-CN" w:bidi="ar"/>
              </w:rPr>
              <w:t>；</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8. 支持分布式防火墙功能，防火墙可应用于业务网络或分布式NAT网关，可根据源\目的IP和端口设置防火墙规则，支持TCP/UDP/ICMP或任意协议；支持配置安全组，根据虚拟机出\入口的协议和端口范围设置安全组之间或安全组到网段之间的访问规则；</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9. 平台内置负载均衡服务，服务池支持轮询、加权轮询、节点最少链接、最快响应、最少请求、源IP哈希负载等负载均衡算法，支持自定义ping\http\https\dns\ftp\ntp\sip\tcp\udp等健康检查方法，支持指定TCP\UDP等服务池协议；</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10.每台配置2 颗处理器，处理器主频≥2.4GHZ，CPU核数≥16核；物理内存≥256GB；不少于4端口千兆网卡，2端口10GE光接口网卡（满配万兆光模块）*2；不少于2颗热插拔电源。超融合服务器的系统盘、缓存盘、数据盘、高速缓存RAID卡、网卡及配套光模块配置需满足业务需求，其中硬盘配置：不低于2块240G M.2 SSD系统盘；不少于2块3.84T SSD缓存盘；不少于6块8T 7.2K SATA数据盘；超融合软件一套</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时钟服务器</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 支持GPS、北斗、上级NTP</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 ▲ 具有4种类型可插拔授时模块板卡，单卡分别支持4个RJ45输出接口、5对RS422/485接口、2个10GE输出接口、4个光口；</w:t>
            </w:r>
            <w:r>
              <w:rPr>
                <w:rStyle w:val="9"/>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 支持多网域校时</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 支持双机热备、级联方案</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5. 处理器：嵌入式ARM处理器</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6. 同步精度：卫星同步精度&lt;20ns</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7. 存储：512M</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8. 守时精度：≤28us</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9. 跟踪通道数：32</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10. 捕获通道数：128</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11. 冷启动捕获灵敏度：-148dBm</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12. 热启动捕获灵敏度：-156dBm</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13. 热启动时间＜2min；冷启动时间＜20min</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14. 授时容量： 10000次/每秒（单千兆网口）</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15. 授时精度：≤5us</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16. 授时频段：GPS: 1575.42±1.023MHz ，北斗: 1561.098±2.046MHz</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17. ▲支持闰秒显示和预告功能</w:t>
            </w:r>
            <w:r>
              <w:rPr>
                <w:rStyle w:val="9"/>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18. ▲支持显示每个NTP输出端口的校时记录，显示被校时设备的IP、时间、时间差（微秒）</w:t>
            </w:r>
            <w:r>
              <w:rPr>
                <w:rStyle w:val="9"/>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视频服务器</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1.2颗intel至强4214R处理器，核数≥12核，主频≥2.2GHz</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 128G DDR4，16根内存插槽，最大支持扩展至2TB内存</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 2块600G10K 25寸 SAS硬盘，1块480G SSD硬盘，3块4T 72K3.5寸SATA盘； 最高支持12块3.5寸(兼容2.5寸)热插拔SAS/SATA硬盘，支持可选2块后置热插拔2.5寸硬盘</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 SAS+HBA卡，支持RAID 0/1/10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 支持6个PCIE扩展插槽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 板载2个千兆电口； 支持选配10GbE、25GbE SFP+等多种网络接口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 其1个RJ45管理接口，后置2个USB 3.0接口，前置2个USB2.0接口，1个VGA接口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 标配550W（1+1）高效铂金CRPS冗余电源</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06" w:type="dxa"/>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1620"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指挥中心LED显示屏</w:t>
            </w:r>
          </w:p>
        </w:tc>
        <w:tc>
          <w:tcPr>
            <w:tcW w:w="8715" w:type="dxa"/>
            <w:vMerge w:val="restar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SMD表贴三合一铜线封装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像素点间距：1.25mm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模组间相对错位值 ≤0.05mm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LED显示屏能效：能效一级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LED显示屏可实现实时监控显示屏工作状态，具有故障自动告警功能，发生故障立即发消息到指定邮箱，及时处理。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LED显示屏具有多点测温系统，均衡散热，防止局部温度过高造成色彩漂移，并提高显示屏寿命。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LED显示屏具有电源温度控制系统，控制电源实时温度监控，超出设定温度自动报警，防止过温失效。</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平整度等级：符合SJ/T 11141-2017 标准 C 级：P≤0.05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像素中心距相对偏差等级：符合 SJ/T 11141-2017 标准 C级：JX≤1%</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电源平均效率：按GB 20943-2013附录A的规定进行，在室温下，LED显示屏 供电电源的功率因数（PFC）不小于98%,转换效率不小于80%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灯珠推力测试：随机选择LED灯珠，在灯珠四侧以水平夹角45°的方向施加推力60N,灯珠未破碎或脱落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整机阻燃：整机阻燃测试，依据标准GB/T 2408-2008. GB/T 5169. 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2020.GB4943. 1-2011. UL 94 垂直燃烧测试方法进行测试符合V-0级标准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色温误差：色温为6500K时，100%, 75%, 50%, 25%四挡电平白 场调节色温误差≤200K</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亮度均匀性：符合 SJ/T 11141-2017 标准 C 级；IGU≥95%，色度均匀性：±0.001CX, Cy 之内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亮度调整：支持0-255级灰度调节；支持亮度调节范围：户内5-1600 （nits）支持通过配套软件0-100%多级调节，设置亮度定时调节，及通过亮度传感器自动调节（手动/自 动/软件任意调节）支持HDR高动态范围图像技术显示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低亮高灰：支持PWM灰阶控制技术提升低灰视觉效果；支持软件实现不同亮度情况下，灰度8-18bit任意设置0-100%亮度时，8-16bits任意灰度设置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刷新率：支持通过配套软件调节刷新率的设置选项，刷新率≥3840Hz,支持 960Hz 至 7680Hz,同时支持0-100%无极调节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低灰高亮：100%亮度时，16bit灰度； 70%亮度时,16 bit灰度; 50%亮度时,13 bit灰度；20%亮度时,12bit灰度</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运输试验：按 GB/T 6587-2012 中 5.10.1.3 的流通条件等级3级对显示模 组进行。无异常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PCB阻燃试验：PCB应满足V-0阻燃等级要求。试验要求：每组燃烧时间≤50s。试验结果：一组燃烧时间3s, 一组燃烧时间2s，PCB电路设计：PCB采用FR-4材质，灯驱合一，电路及表面处理采用双层板0SP工艺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跌落：按 GB/T 2423. 7-1995,样品处于自由状态下：检测面跌落、角跌落。倾跌与翻倒、自由跌落、弹跳跌落符合要求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动态节能：带有智能节电功能、带电黑屏节电功能，开启智能节电功能 比没有开启节能45%以上。</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设计安全：依据标准GB 4943. 1-2011信息技术设备安全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正面IP防护等级：在环境条件温度范围15°〜 35° ；相对湿度25%〜75%；大气压力86kPa〜106kPa下测试 防尘：依据GB/T 4208-2017国 家标准，直径2.5mm的试棒不得进入外壳，并与带电部分保持足够间隙，边缘无毛刺的直径2.5-2.55mm的钢性棒，实验用力3N±0.3N,产品符合IP6X相关要求HDR显示技术：依据 CESI/TS 008-2019 标准，支持HDR高动态光照渲染技术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干扰光：符合 GB/T 36101-2018LED 显示屏干扰光标准LED显示屏亮度的限值规定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平均故障恢复时间（MTTR）：5分钟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LED显示屏图像主观质量评价：按 SJ/T 11590-2016LED显示屏图像质量评价方法进行，主观感受满足图像质量好，十分满意，评价优级，评分5分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视觉舒适度：（VICO指数）范围在0-1级，满足CSA035. 2-2017 标准。视觉舒适度等级为1级，视觉健康舒适度等级为S级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表面硬度：具备划痕性能技术，表面硬度≥4H</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画面延时：LED显示屏画面延迟≤500ns</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信噪比：LED显示屏画面信噪比≥60dB</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LED保护方式：支持模组级的LED灯防撞灯保护装置，符合GB/T 20138- 2006/IEC 62262:2002 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监控自检技术：可实现LED单点检测、通讯检测、温度检测，电源检测，温度监控等功能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远程监控：可实现远程监督控制，对可能发生的潜在故障记录日志，并向操作员发出警报信号；具有烟雾、温升和故障报警功能，具有动态扫描保护功能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系统加密功能 具有信号加密传输功能，支持控制器与屏体之间信号加密传 输功能，防止网络恶意入侵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掉电存储功能：支持掉电存储功能，不丢失数据，上电自动恢复，无需重复配置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功能特点：具备毛毛虫现象消除功能，显示画面无单列或单行像素失控现象且系统具备掉电储存功能。支持不关电热拔抢修功能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防撞缓冲设计：箱体底部精准压力缓冲设计，最大限度避免撞坏灯管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防碰撞 ：具备防碰撞焊盘技术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驱动芯片功能：具有列下消隐功能，倍频刷新率提升2/4/8/16，低灰偏色改善</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平均失效间隔工作时间（MTBF）：LED显示屏的平均失效间隔工作 时间MTBF的检验，按GB/T 11463-1989规定的定时定数截尾实验方案1-2, α =20%, β =20%, Dm=3.0 进行，≥150000h</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表面处理技术：釆用独特的面板处理技术（可选哑光、镜面），有效降低炫光及刺目感，显示柔和，观看时无像素颗粒感；LED表面硬度可达等级≥HRC 8级，防止刮蹭伤害屏幕，具备防水、防潮、 防尘、防撞击、抗UV功能</w:t>
            </w:r>
          </w:p>
        </w:tc>
        <w:tc>
          <w:tcPr>
            <w:tcW w:w="630"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平方</w:t>
            </w:r>
          </w:p>
        </w:tc>
        <w:tc>
          <w:tcPr>
            <w:tcW w:w="780"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12.15</w:t>
            </w:r>
          </w:p>
        </w:tc>
        <w:tc>
          <w:tcPr>
            <w:tcW w:w="1039" w:type="dxa"/>
            <w:vMerge w:val="restart"/>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vMerge w:val="restart"/>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06" w:type="dxa"/>
            <w:vMerge w:val="continue"/>
            <w:shd w:val="clear"/>
            <w:vAlign w:val="center"/>
          </w:tcPr>
          <w:p>
            <w:pPr>
              <w:jc w:val="center"/>
              <w:rPr>
                <w:rFonts w:hint="eastAsia" w:ascii="宋体" w:hAnsi="宋体" w:eastAsia="宋体" w:cs="宋体"/>
                <w:i w:val="0"/>
                <w:iCs w:val="0"/>
                <w:color w:val="000000"/>
                <w:sz w:val="21"/>
                <w:szCs w:val="21"/>
                <w:u w:val="none"/>
              </w:rPr>
            </w:pPr>
          </w:p>
        </w:tc>
        <w:tc>
          <w:tcPr>
            <w:tcW w:w="1620"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c>
          <w:tcPr>
            <w:tcW w:w="8715" w:type="dxa"/>
            <w:vMerge w:val="continue"/>
            <w:shd w:val="clear" w:color="auto" w:fill="FFFFFF"/>
            <w:vAlign w:val="center"/>
          </w:tcPr>
          <w:p>
            <w:pPr>
              <w:jc w:val="left"/>
              <w:rPr>
                <w:rFonts w:hint="eastAsia" w:ascii="宋体" w:hAnsi="宋体" w:eastAsia="宋体" w:cs="宋体"/>
                <w:i w:val="0"/>
                <w:iCs w:val="0"/>
                <w:color w:val="000000"/>
                <w:sz w:val="21"/>
                <w:szCs w:val="21"/>
                <w:u w:val="none"/>
              </w:rPr>
            </w:pPr>
          </w:p>
        </w:tc>
        <w:tc>
          <w:tcPr>
            <w:tcW w:w="630"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c>
          <w:tcPr>
            <w:tcW w:w="780"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c>
          <w:tcPr>
            <w:tcW w:w="1039"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06" w:type="dxa"/>
            <w:vMerge w:val="continue"/>
            <w:shd w:val="clear"/>
            <w:vAlign w:val="center"/>
          </w:tcPr>
          <w:p>
            <w:pPr>
              <w:jc w:val="center"/>
              <w:rPr>
                <w:rFonts w:hint="eastAsia" w:ascii="宋体" w:hAnsi="宋体" w:eastAsia="宋体" w:cs="宋体"/>
                <w:i w:val="0"/>
                <w:iCs w:val="0"/>
                <w:color w:val="000000"/>
                <w:sz w:val="21"/>
                <w:szCs w:val="21"/>
                <w:u w:val="none"/>
              </w:rPr>
            </w:pPr>
          </w:p>
        </w:tc>
        <w:tc>
          <w:tcPr>
            <w:tcW w:w="1620"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c>
          <w:tcPr>
            <w:tcW w:w="8715" w:type="dxa"/>
            <w:vMerge w:val="continue"/>
            <w:shd w:val="clear" w:color="auto" w:fill="FFFFFF"/>
            <w:vAlign w:val="center"/>
          </w:tcPr>
          <w:p>
            <w:pPr>
              <w:jc w:val="left"/>
              <w:rPr>
                <w:rFonts w:hint="eastAsia" w:ascii="宋体" w:hAnsi="宋体" w:eastAsia="宋体" w:cs="宋体"/>
                <w:i w:val="0"/>
                <w:iCs w:val="0"/>
                <w:color w:val="000000"/>
                <w:sz w:val="21"/>
                <w:szCs w:val="21"/>
                <w:u w:val="none"/>
              </w:rPr>
            </w:pPr>
          </w:p>
        </w:tc>
        <w:tc>
          <w:tcPr>
            <w:tcW w:w="630"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c>
          <w:tcPr>
            <w:tcW w:w="780"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c>
          <w:tcPr>
            <w:tcW w:w="1039"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vMerge w:val="continue"/>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指挥中心视频处理器</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1.集视频处理、视频控制功能于一体的二合一视频控制器。单台设备最大带载 1560 万像素点，最大宽度可达 16384 像素，最高 8192 像素，满足现场超宽、超高显示屏控制。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2.具备强大的视频信号接收和处理能力，支持 10bit 视频处理，最大支持4K×2K@60Hz视频输入，并最大可支持 6+1 路视频信号输入，支持 6 个独立窗口、输出画面缩放、逐点亮色度校正等功能，可提供优异的图像显示。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3.采用工业级外壳，凭借其强大的视频处理和发送能力，可适应复杂的操作环境，被广泛应用于政府、企事业单位及军队指挥中心等多种大型固装场合。</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大屏控制软件一体机</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 xml:space="preserve">I5-12代CPU 16G 256+1T  显卡10系列以上 </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显示器</w:t>
            </w:r>
          </w:p>
        </w:tc>
        <w:tc>
          <w:tcPr>
            <w:tcW w:w="8715" w:type="dxa"/>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屏幕分辨率：3840×2160带鱼屏</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堡垒机</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1：至少6个千兆电口，2个万兆光口，支持1个扩展板卡插槽，2TB企业级硬盘，1个Console口，2个USB口；支持最大图形并发100个，最大字符并发为500个；默认配置授权50个</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2：改密完成之后，通过邮件将密码发送给指定的管理员，需要指定2个管理员，管理员A收到前半段密码，管理员B收到后半段密码</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3:▲支持微信小程序动态口令认证方式登录堡垒机，且当用户需要使用手机令牌登录时，需要强制绑定手机令牌</w:t>
            </w:r>
            <w:r>
              <w:rPr>
                <w:rStyle w:val="9"/>
                <w:rFonts w:hint="eastAsia" w:ascii="宋体" w:hAnsi="宋体" w:eastAsia="宋体" w:cs="宋体"/>
                <w:sz w:val="21"/>
                <w:szCs w:val="21"/>
                <w:bdr w:val="none" w:color="auto" w:sz="0" w:space="0"/>
                <w:lang w:val="en-US" w:eastAsia="zh-CN" w:bidi="ar"/>
              </w:rPr>
              <w:t>（提供功能截图，并加盖原厂公章）</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日志审计</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1：综合日志处理性能2600EPS；默认配置6个千兆电口，2个扩展插槽，1个Console接口，2TB硬盘；包含60个日志源授权</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2：▲能够在世界地图上实时定位事件源/目的IP地址（内网IP）的地理位置；</w:t>
            </w:r>
            <w:r>
              <w:rPr>
                <w:rStyle w:val="9"/>
                <w:rFonts w:hint="eastAsia" w:ascii="宋体" w:hAnsi="宋体" w:eastAsia="宋体" w:cs="宋体"/>
                <w:sz w:val="21"/>
                <w:szCs w:val="21"/>
                <w:bdr w:val="none" w:color="auto" w:sz="0" w:space="0"/>
                <w:lang w:val="en-US" w:eastAsia="zh-CN" w:bidi="ar"/>
              </w:rPr>
              <w:t>（提供能够体现</w:t>
            </w:r>
            <w:r>
              <w:rPr>
                <w:rStyle w:val="10"/>
                <w:rFonts w:hint="eastAsia" w:ascii="宋体" w:hAnsi="宋体" w:eastAsia="宋体" w:cs="宋体"/>
                <w:sz w:val="21"/>
                <w:szCs w:val="21"/>
                <w:bdr w:val="none" w:color="auto" w:sz="0" w:space="0"/>
                <w:lang w:val="en-US" w:eastAsia="zh-CN" w:bidi="ar"/>
              </w:rPr>
              <w:t>上述功能及配置选项的截图并加盖原厂公章）</w:t>
            </w:r>
            <w:r>
              <w:rPr>
                <w:rStyle w:val="12"/>
                <w:rFonts w:hint="eastAsia" w:ascii="宋体" w:hAnsi="宋体" w:eastAsia="宋体" w:cs="宋体"/>
                <w:sz w:val="21"/>
                <w:szCs w:val="21"/>
                <w:bdr w:val="none" w:color="auto" w:sz="0" w:space="0"/>
                <w:lang w:val="en-US" w:eastAsia="zh-CN" w:bidi="ar"/>
              </w:rPr>
              <w:br w:type="textWrapping"/>
            </w:r>
            <w:r>
              <w:rPr>
                <w:rStyle w:val="10"/>
                <w:rFonts w:hint="eastAsia" w:ascii="宋体" w:hAnsi="宋体" w:eastAsia="宋体" w:cs="宋体"/>
                <w:sz w:val="21"/>
                <w:szCs w:val="21"/>
                <w:bdr w:val="none" w:color="auto" w:sz="0" w:space="0"/>
                <w:lang w:val="en-US" w:eastAsia="zh-CN" w:bidi="ar"/>
              </w:rPr>
              <w:t xml:space="preserve">3：▲所投产品原厂商拥有运行维护能力，具备中国电子工业标准化技术协会信息技术服务分会颁发的ITSS运行维护二级证书 </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网站防护</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至少1TB硬盘，至少千兆6个10/100/1000M自适应电口，2个千兆SFP插槽，2组bypass，1个Console口，2个USB口.Web安全保护8个站点，网络吞吐量为1000Mbps，应用层处理能力为300Mbps，网络并发连接数40万，HTTP并发为12万，HTTP新建连接数大于3500/s。</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2：▲产品具备轻量级蜜罐防御功能，提供伪造的后台管理系统页面防御功能</w:t>
            </w:r>
            <w:r>
              <w:rPr>
                <w:rStyle w:val="9"/>
                <w:rFonts w:hint="eastAsia" w:ascii="宋体" w:hAnsi="宋体" w:eastAsia="宋体" w:cs="宋体"/>
                <w:sz w:val="21"/>
                <w:szCs w:val="21"/>
                <w:bdr w:val="none" w:color="auto" w:sz="0" w:space="0"/>
                <w:lang w:val="en-US" w:eastAsia="zh-CN" w:bidi="ar"/>
              </w:rPr>
              <w:t>（请提供相应截图证明</w:t>
            </w:r>
            <w:r>
              <w:rPr>
                <w:rStyle w:val="10"/>
                <w:rFonts w:hint="eastAsia" w:ascii="宋体" w:hAnsi="宋体" w:eastAsia="宋体" w:cs="宋体"/>
                <w:sz w:val="21"/>
                <w:szCs w:val="21"/>
                <w:bdr w:val="none" w:color="auto" w:sz="0" w:space="0"/>
                <w:lang w:val="en-US" w:eastAsia="zh-CN" w:bidi="ar"/>
              </w:rPr>
              <w:t>并加盖原厂公章）</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终端安全防护</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1.软件形态，包含管理控制中心、50个客户端软件，4个服务器端授权（ubuntu server）；</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2.支持对进程防护、注册表防护、驱动防护、U盘安全防护、邮件防护、下载防护、IM防护、局域网文件防护、网页安全防护、勒索软件防护。提供产品截图</w:t>
            </w:r>
            <w:r>
              <w:rPr>
                <w:rStyle w:val="8"/>
                <w:rFonts w:hint="eastAsia" w:ascii="宋体" w:hAnsi="宋体" w:eastAsia="宋体" w:cs="宋体"/>
                <w:sz w:val="21"/>
                <w:szCs w:val="21"/>
                <w:bdr w:val="none" w:color="auto" w:sz="0" w:space="0"/>
                <w:lang w:val="en-US" w:eastAsia="zh-CN" w:bidi="ar"/>
              </w:rPr>
              <w:br w:type="textWrapping"/>
            </w:r>
            <w:r>
              <w:rPr>
                <w:rStyle w:val="12"/>
                <w:rFonts w:hint="eastAsia" w:ascii="宋体" w:hAnsi="宋体" w:eastAsia="宋体" w:cs="宋体"/>
                <w:sz w:val="21"/>
                <w:szCs w:val="21"/>
                <w:bdr w:val="none" w:color="auto" w:sz="0" w:space="0"/>
                <w:lang w:val="en-US" w:eastAsia="zh-CN" w:bidi="ar"/>
              </w:rPr>
              <w:t>3.▲</w:t>
            </w:r>
            <w:r>
              <w:rPr>
                <w:rStyle w:val="10"/>
                <w:rFonts w:hint="eastAsia" w:ascii="宋体" w:hAnsi="宋体" w:eastAsia="宋体" w:cs="宋体"/>
                <w:sz w:val="21"/>
                <w:szCs w:val="21"/>
                <w:bdr w:val="none" w:color="auto" w:sz="0" w:space="0"/>
                <w:lang w:val="en-US" w:eastAsia="zh-CN" w:bidi="ar"/>
              </w:rPr>
              <w:t>原厂具备强大的漏洞加固能力.产品原厂商拥有CNVD提交漏洞的能力，要求具备2022全年度成员单位工作贡献排名前3名</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点位</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视频会议终端</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1.分体式设计、H.323/SIP标准、H.264 AVC/SVC，(1080P/30fps);</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2.Siren22（22KHz）高清音频、1路摄像头输入（HDCI）;</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3.支持无线双流功能;</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4.1路视频输出 HDMI(第2个视频输出需要license激活)；</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5.音频输入（1xClink2），音频输出（1xHDMI、1x3.5mm），小巧、光滑设计。</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机房改造</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机房改造主要有主干电缆更换、动环系统（温湿度、烟感、漏水、UPS监测）、门禁系统、机房吊顶修复、静电地板敷设等内容。</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1、嵌入式监控采集器1台：标准19英寸、机架式、工业控制级嵌入式服务器、坚固、防震、防潮、防尘、耐高温多插槽和易于扩充、24小时*365天不间断运行、、4I 4 DO 、2个RS232，4个RS485串口、10/100以太网口、功耗&lt;19W、电源输入AC100-240V、EFT防护±2KV、1U机架式设计安装、自带对外供电接口，支持给设备直接供电，为保障网络数据安全要求，采集器硬件须满足网络安全的要求，</w:t>
            </w:r>
            <w:r>
              <w:rPr>
                <w:rStyle w:val="9"/>
                <w:rFonts w:hint="eastAsia" w:ascii="宋体" w:hAnsi="宋体" w:eastAsia="宋体" w:cs="宋体"/>
                <w:sz w:val="21"/>
                <w:szCs w:val="21"/>
                <w:bdr w:val="none" w:color="auto" w:sz="0" w:space="0"/>
                <w:lang w:val="en-US" w:eastAsia="zh-CN" w:bidi="ar"/>
              </w:rPr>
              <w:t>▲产品具有CE(EMC)认证、CE(LVD)认证、ROHS认证、FCC认证、IP等级认证，需要提供公安部安全与警用产品检测中心的检测报告复印件并加盖原厂公章。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2、数字化温、湿度传感器1个：数字化温湿一体、温度精度&lt;0.5℃、湿度精度&lt;3%RH、前端液晶显示，RS485上联。</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3、温湿度监控嵌入式软件V1.0：包含温湿度监控子软件、设置相关策略进行报警、温湿度传感器嵌入式软件V1.0，。</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4、UPS监控嵌入式软件V1.0：包含主机的状态、输入、输出电压、电流、频率、功率因数、逆变器状态、负载、电池状态、旁路状态、报警等进行监控；</w:t>
            </w:r>
            <w:r>
              <w:rPr>
                <w:rStyle w:val="9"/>
                <w:rFonts w:hint="eastAsia" w:ascii="宋体" w:hAnsi="宋体" w:eastAsia="宋体" w:cs="宋体"/>
                <w:sz w:val="21"/>
                <w:szCs w:val="21"/>
                <w:bdr w:val="none" w:color="auto" w:sz="0" w:space="0"/>
                <w:lang w:val="en-US" w:eastAsia="zh-CN" w:bidi="ar"/>
              </w:rPr>
              <w:t>▲为避免版权纠纷，UPS监控软件应具有软件著作权证书及中国软件评测中心的检测报告（提供证书复印件加盖原厂公章）。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5、漏水检测控制模块2套：绳式不定位水浸传感器组、灵敏度共4个等级可调节。</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6、漏水绳2根：缠绕型防腐蚀漏水绳、5M线长。</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7、漏水监控嵌入式软件V7.0：包含漏水传感器在软件3D图中实时显示，报警出现时在软件相应位置变红、设置漏水报警阈值等。</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8、普通空调（红外）监控模块组2个:RS485通讯、DC-12V供电，监测空调的运行状态、远程控制开关机、来电自启动等。</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9、烟雾探测器3个：光电离子型烟雾探测器，光学米宫设计、采用低功耗CMOS微处理器、具有手动测试、手动复位功能、吊顶安装。</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10、门禁锁1把：防盗拆型门禁锁、带状态反馈、吸合力280kg。</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11、指纹人脸读卡器1个：指纹密码、IC门禁读卡器、人脸动态。</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12、出门按钮1个：86盒型出门铵钮。</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13、门禁控制器1台：智能门禁控制器、开放SDK开发包、含门禁电源、控制箱等。</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14、电力电缆：机房主干供电铜芯电力电缆，规格YJV-4*25+16</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15、配电箱：尺寸≥600*800*200mm，配置不少于1个100A三相空开，1个100A单相空开，2个32A单相空开，6个20A单项空开；</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16、机柜：42U机柜，宽度600mm，深度1000mm，前门单开网孔门，后门双开网孔门；</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17、静电地板：600*600全钢；</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18、吊顶修复：原有大屏拆除，拆除后重新顶面恢复，刷漆。</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06" w:type="dxa"/>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1620" w:type="dxa"/>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不间断电源</w:t>
            </w:r>
          </w:p>
        </w:tc>
        <w:tc>
          <w:tcPr>
            <w:tcW w:w="8715" w:type="dxa"/>
            <w:vMerge w:val="restar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1、UPS主机技术要求：</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（1）UPS主机容量需为20kVA，三进单出在线式产品，380/400/415VAC，50/ 60Hz电网体系，提供最佳的供电质量与负载保护。</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（2）输入电压范围:190～499Vac(线电压)。需提供彩页证明并加盖所投品牌厂商公章。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（3）▲UPS电源制式支持：三进单出、单进单出设置模式。</w:t>
            </w:r>
            <w:r>
              <w:rPr>
                <w:rStyle w:val="9"/>
                <w:rFonts w:hint="eastAsia" w:ascii="宋体" w:hAnsi="宋体" w:eastAsia="宋体" w:cs="宋体"/>
                <w:sz w:val="21"/>
                <w:szCs w:val="21"/>
                <w:bdr w:val="none" w:color="auto" w:sz="0" w:space="0"/>
                <w:lang w:val="en-US" w:eastAsia="zh-CN" w:bidi="ar"/>
              </w:rPr>
              <w:t>需提供设置图片证明并加盖所投品牌厂商公章。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（4）输出电压可设置 200VAC/208VAC/ 220VAC/230VAC/240VAC。</w:t>
            </w:r>
            <w:r>
              <w:rPr>
                <w:rStyle w:val="10"/>
                <w:rFonts w:hint="eastAsia" w:ascii="宋体" w:hAnsi="宋体" w:eastAsia="宋体" w:cs="宋体"/>
                <w:sz w:val="21"/>
                <w:szCs w:val="21"/>
                <w:bdr w:val="none" w:color="auto" w:sz="0" w:space="0"/>
                <w:lang w:val="en-US" w:eastAsia="zh-CN" w:bidi="ar"/>
              </w:rPr>
              <w:t>需提供设置图片证明并加盖所投品牌厂商公章。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（5）超强的负载适应性，超强的过载与短路能力。</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（6）超宽输入电压与频率范围，适应恶劣电网环境，适应各种燃油发电机接入。</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（7）提供浪涌保护功能，同时做了电磁传导和电磁辐射处理，减少UPS对电网中其它敏感设备的影响。</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（8）▲UPS输出功率因数必须为1（1kVA=1kW），以便与负载完美匹配。</w:t>
            </w:r>
            <w:r>
              <w:rPr>
                <w:rStyle w:val="10"/>
                <w:rFonts w:hint="eastAsia" w:ascii="宋体" w:hAnsi="宋体" w:eastAsia="宋体" w:cs="宋体"/>
                <w:sz w:val="21"/>
                <w:szCs w:val="21"/>
                <w:bdr w:val="none" w:color="auto" w:sz="0" w:space="0"/>
                <w:lang w:val="en-US" w:eastAsia="zh-CN" w:bidi="ar"/>
              </w:rPr>
              <w:t>需提供泰尔检测报告并加盖所投品牌厂商公章。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（9）▲所投UPS最高效率应不低于96%（50%负载）。</w:t>
            </w:r>
            <w:r>
              <w:rPr>
                <w:rStyle w:val="9"/>
                <w:rFonts w:hint="eastAsia" w:ascii="宋体" w:hAnsi="宋体" w:eastAsia="宋体" w:cs="宋体"/>
                <w:sz w:val="21"/>
                <w:szCs w:val="21"/>
                <w:bdr w:val="none" w:color="auto" w:sz="0" w:space="0"/>
                <w:lang w:val="en-US" w:eastAsia="zh-CN" w:bidi="ar"/>
              </w:rPr>
              <w:t>需提供泰尔检测报告并加盖所投品牌厂商公章。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（10）▲为保障UPS的可用性稳定性，降低功率器件承压和老化速度，应采用三电平逆变或四电平逆变技术，可更好适应各种半波负载。</w:t>
            </w:r>
            <w:r>
              <w:rPr>
                <w:rStyle w:val="9"/>
                <w:rFonts w:hint="eastAsia" w:ascii="宋体" w:hAnsi="宋体" w:eastAsia="宋体" w:cs="宋体"/>
                <w:sz w:val="21"/>
                <w:szCs w:val="21"/>
                <w:bdr w:val="none" w:color="auto" w:sz="0" w:space="0"/>
                <w:lang w:val="en-US" w:eastAsia="zh-CN" w:bidi="ar"/>
              </w:rPr>
              <w:t>需提供多电平逆变技术第三方检测报告证明并加盖所投品牌厂商公章。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（11）▲所有电路板均需要采用三防工艺。</w:t>
            </w:r>
            <w:r>
              <w:rPr>
                <w:rStyle w:val="10"/>
                <w:rFonts w:hint="eastAsia" w:ascii="宋体" w:hAnsi="宋体" w:eastAsia="宋体" w:cs="宋体"/>
                <w:sz w:val="21"/>
                <w:szCs w:val="21"/>
                <w:bdr w:val="none" w:color="auto" w:sz="0" w:space="0"/>
                <w:lang w:val="en-US" w:eastAsia="zh-CN" w:bidi="ar"/>
              </w:rPr>
              <w:t>需提供标配三防工艺第三方检测报告证明并加盖所投品牌厂商公章。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（12）▲LED+LCD蓝底大液晶显示屏。</w:t>
            </w:r>
            <w:r>
              <w:rPr>
                <w:rStyle w:val="10"/>
                <w:rFonts w:hint="eastAsia" w:ascii="宋体" w:hAnsi="宋体" w:eastAsia="宋体" w:cs="宋体"/>
                <w:sz w:val="21"/>
                <w:szCs w:val="21"/>
                <w:bdr w:val="none" w:color="auto" w:sz="0" w:space="0"/>
                <w:lang w:val="en-US" w:eastAsia="zh-CN" w:bidi="ar"/>
              </w:rPr>
              <w:t>需提供显示屏图片证明并加盖所投品牌厂商公章。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（13）▲电池组节数可进行16～24节设置，便于未来遭遇个别电池故障需要维护、更换时, 可灵活调节电池节数的需要。</w:t>
            </w:r>
            <w:r>
              <w:rPr>
                <w:rStyle w:val="9"/>
                <w:rFonts w:hint="eastAsia" w:ascii="宋体" w:hAnsi="宋体" w:eastAsia="宋体" w:cs="宋体"/>
                <w:sz w:val="21"/>
                <w:szCs w:val="21"/>
                <w:bdr w:val="none" w:color="auto" w:sz="0" w:space="0"/>
                <w:lang w:val="en-US" w:eastAsia="zh-CN" w:bidi="ar"/>
              </w:rPr>
              <w:t>需提供设置界面截图并加盖所投品牌厂商公章。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（14）可选配跟机器外观一致的电池箱16/20节内置7/9AH，可支持不少于4台电池箱并联使用。</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（15）机器充电电流标配5A，可选配内置12A充电器，充电电流要求可设置。</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（16）能够更好匹配现场应用，避免后备时间长充电器充电能力不足，可选配外置充电箱最大20A，充电电流1-20A可设置，充电器输入电压范围110-270Vac。</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（17）标配输入空开、旁路空开，机器内部标配电池保险丝。</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（18）▲误操作保护功能，如果UPS工作在逆变状态下，此时如果误将手动旁路闭合或静态旁路短路，将会有反灌电流冲击逆变器损坏逆变器，UPS要求在这种情况下保护逆变器不受损坏。</w:t>
            </w:r>
            <w:r>
              <w:rPr>
                <w:rStyle w:val="9"/>
                <w:rFonts w:hint="eastAsia" w:ascii="宋体" w:hAnsi="宋体" w:eastAsia="宋体" w:cs="宋体"/>
                <w:sz w:val="21"/>
                <w:szCs w:val="21"/>
                <w:bdr w:val="none" w:color="auto" w:sz="0" w:space="0"/>
                <w:lang w:val="en-US" w:eastAsia="zh-CN" w:bidi="ar"/>
              </w:rPr>
              <w:t>需提供误操作保护功能第三方检测报告证明并加盖所投品牌厂商公章。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（19）具备自主老化模式即可进行系统满载测试，省去租用负载箱等。</w:t>
            </w:r>
            <w:r>
              <w:rPr>
                <w:rStyle w:val="8"/>
                <w:rFonts w:hint="eastAsia" w:ascii="宋体" w:hAnsi="宋体" w:eastAsia="宋体" w:cs="宋体"/>
                <w:sz w:val="21"/>
                <w:szCs w:val="21"/>
                <w:bdr w:val="none" w:color="auto" w:sz="0" w:space="0"/>
                <w:lang w:val="en-US" w:eastAsia="zh-CN" w:bidi="ar"/>
              </w:rPr>
              <w:br w:type="textWrapping"/>
            </w:r>
            <w:r>
              <w:rPr>
                <w:rStyle w:val="12"/>
                <w:rFonts w:hint="eastAsia" w:ascii="宋体" w:hAnsi="宋体" w:eastAsia="宋体" w:cs="宋体"/>
                <w:sz w:val="21"/>
                <w:szCs w:val="21"/>
                <w:bdr w:val="none" w:color="auto" w:sz="0" w:space="0"/>
                <w:lang w:val="en-US" w:eastAsia="zh-CN" w:bidi="ar"/>
              </w:rPr>
              <w:t>（20）▲</w:t>
            </w:r>
            <w:r>
              <w:rPr>
                <w:rStyle w:val="10"/>
                <w:rFonts w:hint="eastAsia" w:ascii="宋体" w:hAnsi="宋体" w:eastAsia="宋体" w:cs="宋体"/>
                <w:sz w:val="21"/>
                <w:szCs w:val="21"/>
                <w:bdr w:val="none" w:color="auto" w:sz="0" w:space="0"/>
                <w:lang w:val="en-US" w:eastAsia="zh-CN" w:bidi="ar"/>
              </w:rPr>
              <w:t>提供投标UPS产品的“中国节能产品认证证书”复印件、“泰尔产品认证证书”复印件、“CE认证证书”、“泰尔产品认证检测报告”复印件并加盖所投品牌厂商公章。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2、蓄电池技术要求：</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（1）蓄电池要求满足UPS后备运行≥120分钟， 蓄电池采用4组12V100AH、每组≥16节，</w:t>
            </w:r>
            <w:r>
              <w:rPr>
                <w:rStyle w:val="9"/>
                <w:rFonts w:hint="eastAsia" w:ascii="宋体" w:hAnsi="宋体" w:eastAsia="宋体" w:cs="宋体"/>
                <w:sz w:val="21"/>
                <w:szCs w:val="21"/>
                <w:bdr w:val="none" w:color="auto" w:sz="0" w:space="0"/>
                <w:lang w:val="en-US" w:eastAsia="zh-CN" w:bidi="ar"/>
              </w:rPr>
              <w:t>要求与UPS统一品牌</w:t>
            </w:r>
            <w:r>
              <w:rPr>
                <w:rStyle w:val="8"/>
                <w:rFonts w:hint="eastAsia" w:ascii="宋体" w:hAnsi="宋体" w:eastAsia="宋体" w:cs="宋体"/>
                <w:sz w:val="21"/>
                <w:szCs w:val="21"/>
                <w:bdr w:val="none" w:color="auto" w:sz="0" w:space="0"/>
                <w:lang w:val="en-US" w:eastAsia="zh-CN" w:bidi="ar"/>
              </w:rPr>
              <w:t>。</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（2）每组蓄电池必须配备1个直流开关。</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（3）蓄电池外观应无变形、无漏液、裂纹及污迹；标识应清晰；正负端子有明显标志，便于连接。</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（4）采用板栅和合金设计，有效抵抗极板腐蚀；卓越的大电流放电特性，可靠的快速充电性能，优越的深度放电恢复能力，确保电池的使用寿命。</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（5）▲蓄电池密封反应效率：密封反应效率＞97%。</w:t>
            </w:r>
            <w:r>
              <w:rPr>
                <w:rStyle w:val="9"/>
                <w:rFonts w:hint="eastAsia" w:ascii="宋体" w:hAnsi="宋体" w:eastAsia="宋体" w:cs="宋体"/>
                <w:sz w:val="21"/>
                <w:szCs w:val="21"/>
                <w:bdr w:val="none" w:color="auto" w:sz="0" w:space="0"/>
                <w:lang w:val="en-US" w:eastAsia="zh-CN" w:bidi="ar"/>
              </w:rPr>
              <w:t>需提供泰尔检测报告并加盖所投品牌厂商公章。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（6）免维护的专业设计，采用高可靠的专业阀控密封式设计，确保电池不漏（渗）液、无酸雾、不腐蚀，并在充电时产生的气体基本被吸收还原成电解液，在使用时无需加水、补液和测量电解液比重。</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（7）极小的自放电电流，用优质高纯度材料设计，自放电电流极小，自放电所造成的容量损失每月小于3％，减轻电池存储时的维护工作。</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（8）安全阀应具有自动开启和自动关闭的功能，其开阀压力应在 10kPa～35kPa 范围内，闭阀压力应在3kPa～30kPa 范围内。</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（9）极宽的工作温度范围，电池可以在-20℃～+50℃甚至更宽范围的温度条件下工作，电池的内阻比常规电池小，在-20℃～+50℃的温度范围内进行大电流放电，其输出功率比同规格的传统式开口电池高。</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（10）良好的批量一致性，领先的设计技术和绝佳的气密性、电压、容量和安全性能检验，保证了大批量生产的电池具有良好的一致性，特别适合于需要多节电池串联使用的场合。</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蓄电池应能承受50kpa的正压或负压而不开裂、不开胶，压力释放后壳体无残余变形。</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3、电池柜：单个柜尺寸：780*470*1200mm。</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4、UOPS电缆：配电箱主空开输出进UPS，UPS输出至配电箱分空开，电池连接线。</w:t>
            </w:r>
          </w:p>
        </w:tc>
        <w:tc>
          <w:tcPr>
            <w:tcW w:w="630" w:type="dxa"/>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780" w:type="dxa"/>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vMerge w:val="restart"/>
            <w:shd w:val="clear"/>
            <w:vAlign w:val="center"/>
          </w:tcPr>
          <w:p>
            <w:pPr>
              <w:jc w:val="center"/>
              <w:rPr>
                <w:rFonts w:hint="eastAsia" w:ascii="宋体" w:hAnsi="宋体" w:eastAsia="宋体" w:cs="宋体"/>
                <w:i w:val="0"/>
                <w:iCs w:val="0"/>
                <w:color w:val="000000"/>
                <w:sz w:val="21"/>
                <w:szCs w:val="21"/>
                <w:u w:val="none"/>
              </w:rPr>
            </w:pPr>
          </w:p>
        </w:tc>
        <w:tc>
          <w:tcPr>
            <w:tcW w:w="1112" w:type="dxa"/>
            <w:vMerge w:val="restart"/>
            <w:shd w:val="clear"/>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06" w:type="dxa"/>
            <w:vMerge w:val="continue"/>
            <w:shd w:val="clear"/>
            <w:vAlign w:val="center"/>
          </w:tcPr>
          <w:p>
            <w:pPr>
              <w:jc w:val="center"/>
              <w:rPr>
                <w:rFonts w:hint="eastAsia" w:ascii="宋体" w:hAnsi="宋体" w:eastAsia="宋体" w:cs="宋体"/>
                <w:i w:val="0"/>
                <w:iCs w:val="0"/>
                <w:color w:val="000000"/>
                <w:sz w:val="21"/>
                <w:szCs w:val="21"/>
                <w:u w:val="none"/>
              </w:rPr>
            </w:pPr>
          </w:p>
        </w:tc>
        <w:tc>
          <w:tcPr>
            <w:tcW w:w="1620" w:type="dxa"/>
            <w:vMerge w:val="continue"/>
            <w:shd w:val="clear"/>
            <w:vAlign w:val="center"/>
          </w:tcPr>
          <w:p>
            <w:pPr>
              <w:jc w:val="center"/>
              <w:rPr>
                <w:rFonts w:hint="eastAsia" w:ascii="宋体" w:hAnsi="宋体" w:eastAsia="宋体" w:cs="宋体"/>
                <w:i w:val="0"/>
                <w:iCs w:val="0"/>
                <w:color w:val="000000"/>
                <w:sz w:val="21"/>
                <w:szCs w:val="21"/>
                <w:u w:val="none"/>
              </w:rPr>
            </w:pPr>
          </w:p>
        </w:tc>
        <w:tc>
          <w:tcPr>
            <w:tcW w:w="8715" w:type="dxa"/>
            <w:vMerge w:val="continue"/>
            <w:shd w:val="clear"/>
            <w:vAlign w:val="center"/>
          </w:tcPr>
          <w:p>
            <w:pPr>
              <w:jc w:val="left"/>
              <w:rPr>
                <w:rFonts w:hint="eastAsia" w:ascii="宋体" w:hAnsi="宋体" w:eastAsia="宋体" w:cs="宋体"/>
                <w:i w:val="0"/>
                <w:iCs w:val="0"/>
                <w:color w:val="000000"/>
                <w:sz w:val="21"/>
                <w:szCs w:val="21"/>
                <w:u w:val="none"/>
              </w:rPr>
            </w:pPr>
          </w:p>
        </w:tc>
        <w:tc>
          <w:tcPr>
            <w:tcW w:w="630" w:type="dxa"/>
            <w:vMerge w:val="continue"/>
            <w:shd w:val="clear"/>
            <w:vAlign w:val="center"/>
          </w:tcPr>
          <w:p>
            <w:pPr>
              <w:jc w:val="center"/>
              <w:rPr>
                <w:rFonts w:hint="eastAsia" w:ascii="宋体" w:hAnsi="宋体" w:eastAsia="宋体" w:cs="宋体"/>
                <w:i w:val="0"/>
                <w:iCs w:val="0"/>
                <w:color w:val="000000"/>
                <w:sz w:val="21"/>
                <w:szCs w:val="21"/>
                <w:u w:val="none"/>
              </w:rPr>
            </w:pPr>
          </w:p>
        </w:tc>
        <w:tc>
          <w:tcPr>
            <w:tcW w:w="780" w:type="dxa"/>
            <w:vMerge w:val="continue"/>
            <w:shd w:val="clear"/>
            <w:vAlign w:val="center"/>
          </w:tcPr>
          <w:p>
            <w:pPr>
              <w:jc w:val="center"/>
              <w:rPr>
                <w:rFonts w:hint="eastAsia" w:ascii="宋体" w:hAnsi="宋体" w:eastAsia="宋体" w:cs="宋体"/>
                <w:i w:val="0"/>
                <w:iCs w:val="0"/>
                <w:color w:val="000000"/>
                <w:sz w:val="21"/>
                <w:szCs w:val="21"/>
                <w:u w:val="none"/>
              </w:rPr>
            </w:pPr>
          </w:p>
        </w:tc>
        <w:tc>
          <w:tcPr>
            <w:tcW w:w="1039" w:type="dxa"/>
            <w:vMerge w:val="continue"/>
            <w:shd w:val="clear"/>
            <w:vAlign w:val="center"/>
          </w:tcPr>
          <w:p>
            <w:pPr>
              <w:jc w:val="center"/>
              <w:rPr>
                <w:rFonts w:hint="eastAsia" w:ascii="宋体" w:hAnsi="宋体" w:eastAsia="宋体" w:cs="宋体"/>
                <w:i w:val="0"/>
                <w:iCs w:val="0"/>
                <w:color w:val="000000"/>
                <w:sz w:val="21"/>
                <w:szCs w:val="21"/>
                <w:u w:val="none"/>
              </w:rPr>
            </w:pPr>
          </w:p>
        </w:tc>
        <w:tc>
          <w:tcPr>
            <w:tcW w:w="1112" w:type="dxa"/>
            <w:vMerge w:val="continue"/>
            <w:shd w:val="clear"/>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二</w:t>
            </w:r>
          </w:p>
        </w:tc>
        <w:tc>
          <w:tcPr>
            <w:tcW w:w="1620" w:type="dxa"/>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软件</w:t>
            </w:r>
          </w:p>
        </w:tc>
        <w:tc>
          <w:tcPr>
            <w:tcW w:w="8715" w:type="dxa"/>
            <w:shd w:val="clear" w:color="auto" w:fill="FFFFFF"/>
            <w:vAlign w:val="center"/>
          </w:tcPr>
          <w:p>
            <w:pPr>
              <w:jc w:val="center"/>
              <w:rPr>
                <w:rFonts w:hint="eastAsia" w:ascii="宋体" w:hAnsi="宋体" w:eastAsia="宋体" w:cs="宋体"/>
                <w:b/>
                <w:bCs/>
                <w:i w:val="0"/>
                <w:iCs w:val="0"/>
                <w:color w:val="000000"/>
                <w:sz w:val="21"/>
                <w:szCs w:val="21"/>
                <w:u w:val="none"/>
              </w:rPr>
            </w:pPr>
          </w:p>
        </w:tc>
        <w:tc>
          <w:tcPr>
            <w:tcW w:w="630" w:type="dxa"/>
            <w:shd w:val="clear" w:color="auto" w:fill="FFFFFF"/>
            <w:vAlign w:val="center"/>
          </w:tcPr>
          <w:p>
            <w:pPr>
              <w:jc w:val="center"/>
              <w:rPr>
                <w:rFonts w:hint="eastAsia" w:ascii="宋体" w:hAnsi="宋体" w:eastAsia="宋体" w:cs="宋体"/>
                <w:b/>
                <w:bCs/>
                <w:i w:val="0"/>
                <w:iCs w:val="0"/>
                <w:color w:val="000000"/>
                <w:sz w:val="21"/>
                <w:szCs w:val="21"/>
                <w:u w:val="none"/>
              </w:rPr>
            </w:pPr>
          </w:p>
        </w:tc>
        <w:tc>
          <w:tcPr>
            <w:tcW w:w="780"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交通、公安联合治超数据协作</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实现公安交管部门与交通执法部门查缉布控数据的对接交互，数据交互的内容和方式严格满足公安、交通双方数据传输的安全要求；</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1.智能交通集成指挥平台搭建本地超限超载车辆库，包含车牌、号牌种类、号牌颜色、车型等基础数据；</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智能交通集成指挥平台向超限治理管理平台提供车辆布控接口，布控数据获取需超限治理管理平台向智能交通集成指挥平台提供“布控时间、地点、车牌号、号牌颜色”；撤销需超限治理管理平台向智能交通集成指挥平台提供指定车牌车辆布控信息；智能交通集成指挥平台向超限治理管理平台提供卡口信息，包括卡口编号、卡口名称、方向等；智能交通集成指挥平台向超限治理管理平台主动推送实时告警数据，数据含“告警时间、地点、车牌号、经纬度”；超限治理管理平台获取到智能交通集成指挥平台经纬度，进行存储；</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超限治理管理平台缉查布控功能，输入需要缉查布控车辆的“车牌号（必填）、车牌颜色（必填）、布控期限（必填）、”，向智能交通集成指挥平台发送当前车辆信息；智能交通集成指挥平台发现布控车辆时推送车辆位置至超限治理管理平台；超限治理管理平台将会在指挥调度页面地图上显示最近接收到的布控车辆位置；布控期限小于48小时，不会向智能交通集成指挥平台系统传输操作人员，智能交通集成指挥平台系统不会记录配置布控车辆布控期限小于48小时的操作人员；布控期限大于48小时，将会向智能交通集成指挥平台系统传输操作人员，智能交通集成指挥平台系统将会记录配置布控车辆布控期限大于48小时的操作人员；（注释：小于48小时的布控以下统称为临时布控，大于48小时的布控以下统称为长期布控），缉查布控时会记录“操作人、IP地址、操作时间、车辆号、车牌颜色、车牌类型、车辆轴数、布控期限”等字段至超限治理管理平台缉查布控列表。（注释：执法人员查询布控车辆时会记录到超限治理管理平台数据库，页面菜单名称为缉查布控列表），可配置布控车辆告警间隔阈值，默认阈值为60分钟告警一次，最小支持1分钟告警一次，最大支持999分钟告警一次；</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4.缉查布控列表可以查改布控车辆在超限治理管理平台的检测数据（查询布控车辆检测数据时间范围默认30 天，可手动调整时间范围）、行驶轨迹（超限治理管理平台存储的经纬度）；点击缉查布控列表中撤控按钮，可对该次布控车辆进行撤控处理；智能交通集成指挥平台收到撤控请求后，传输正确车辆信息，取消对布控车辆的轨迹监控；撤控成功与否都会在页面进行提示，该布控车辆在指挥调度页面将不会显示；（注释：撤控后，如果该车辆原本就在指挥调度中，则恢复该车辆原本车辆图标，严重超限车辆、重点关注车辆、黑名单车辆、布控车辆图标不一致）</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交通、公安联合治超数据协作</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实现公安交管部门与交通执法部门查缉布控数据的对接交互，数据交互的内容和方式严格满足公安、交通双方数据传输的安全要求；</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1.智能交通集成指挥平台搭建本地超限超载车辆库，包含车牌、号牌种类、号牌颜色、车型等基础数据；</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智能交通集成指挥平台向超限治理管理平台提供车辆布控接口，布控数据获取需超限治理管理平台向智能交通集成指挥平台提供“布控时间、地点、车牌号、号牌颜色”；撤销需超限治理管理平台向智能交通集成指挥平台提供指定车牌车辆布控信息；智能交通集成指挥平台向超限治理管理平台提供卡口信息，包括卡口编号、卡口名称、方向等；智能交通集成指挥平台向超限治理管理平台主动推送实时告警数据，数据含“告警时间、地点、车牌号、经纬度”；超限治理管理平台获取到智能交通集成指挥平台经纬度，进行存储；</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超限治理管理平台缉查布控功能，输入需要缉查布控车辆的“车牌号（必填）、车牌颜色（必填）、布控期限（必填）、”，向智能交通集成指挥平台发送当前车辆信息；智能交通集成指挥平台发现布控车辆时推送车辆位置至超限治理管理平台；超限治理管理平台将会在指挥调度页面地图上显示最近接收到的布控车辆位置；布控期限小于48小时，不会向智能交通集成指挥平台系统传输操作人员，智能交通集成指挥平台系统不会记录配置布控车辆布控期限小于48小时的操作人员；布控期限大于48小时，将会向智能交通集成指挥平台系统传输操作人员，智能交通集成指挥平台系统将会记录配置布控车辆布控期限大于48小时的操作人员；（注释：小于48小时的布控以下统称为临时布控，大于48小时的布控以下统称为长期布控），缉查布控时会记录“操作人、IP地址、操作时间、车辆号、车牌颜色、车牌类型、车辆轴数、布控期限”等字段至超限治理管理平台缉查布控列表。（注释：执法人员查询布控车辆时会记录到超限治理管理平台数据库，页面菜单名称为缉查布控列表），可配置布控车辆告警间隔阈值，默认阈值为60分钟告警一次，最小支持1分钟告警一次，最大支持999分钟告警一次；</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4.缉查布控列表可以查改布控车辆在超限治理管理平台的检测数据（查询布控车辆检测数据时间范围默认31 天，可手动调整时间范围）、行驶轨迹（超限治理管理平台存储的经纬度）；点击缉查布控列表中撤控按钮，可对该次布控车辆进行撤控处理；智能交通集成指挥平台收到撤控请求后，传输正确车辆信息，取消对布控车辆的轨迹监控；撤控成功与否都会在页面进行提示，该布控车辆在指挥调度页面将不会显示；（注释：撤控后，如果该车辆原本就在指挥调度中，则恢复该车辆原本车辆图标，严重超限车辆、重点关注车辆、黑名单车辆、布控车辆图标不一致）</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综合安防管理平台（含200路视频监控授权）</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1.系统基础包，提供业务应用依赖的基础资源信息及基础服务能力，包括系统基础信息管理、地图应用服务、事件联动应用服务。</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2. 系统基础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3. ▲要求支持AD域</w:t>
            </w:r>
            <w:r>
              <w:rPr>
                <w:rStyle w:val="9"/>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4. ▲要求支持实时计算考勤、重新计算考勤的能力</w:t>
            </w:r>
            <w:r>
              <w:rPr>
                <w:rStyle w:val="9"/>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5. ▲要求支持知识库搜索查询、导入、导出，支持经验分享</w:t>
            </w:r>
            <w:r>
              <w:rPr>
                <w:rStyle w:val="9"/>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6. ▲要求监控点最多管理容量为1000000路</w:t>
            </w:r>
            <w:r>
              <w:rPr>
                <w:rStyle w:val="9"/>
                <w:rFonts w:hint="eastAsia" w:ascii="宋体" w:hAnsi="宋体" w:eastAsia="宋体" w:cs="宋体"/>
                <w:sz w:val="21"/>
                <w:szCs w:val="21"/>
                <w:bdr w:val="none" w:color="auto" w:sz="0" w:space="0"/>
                <w:lang w:val="en-US" w:eastAsia="zh-CN" w:bidi="ar"/>
              </w:rPr>
              <w:t>（提供国家权威机构出具的首页具有CNAS和CMA标识的检测报告复印件并加盖厂家公章）</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7. 要求支持在实时预览和录像回放时主动抓取图片用于人脸或人体属性搜索人员轨迹及位置信息</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8. 视频级联应用主要为视频监控业务提供级联服务，专注于平台域间视频联网，基于视频通用标准协议（GB/T28181-2011,GB/T28181-2016）与外域平台互联互通，实现上级平台对下级平台视频资源点位的操作控制。</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62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超限超载设备运维系统</w:t>
            </w:r>
          </w:p>
        </w:tc>
        <w:tc>
          <w:tcPr>
            <w:tcW w:w="8715"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bdr w:val="none" w:color="auto" w:sz="0" w:space="0"/>
                <w:lang w:val="en-US" w:eastAsia="zh-CN" w:bidi="ar"/>
              </w:rPr>
              <w:t>1.能够可视化显示包括供电、通信、环境温湿度、烟雾等设备的运行健康状况；2.系统通过智能化存储预警算法自动检测系统存储资源，当存储资源达到预警上限时，自动清理已经上传的数据，以保证系统可 7×24 小时连续运行，无工作时间空隙，自动化运维；3.基本维护:远程下达指令，对设备进行如断电重启、复位、数据恢复等基本维护；4、状态上报：能够登记异常信息，能通过数据传输接口上传至上级平台；4.系统配置：系统权限管理参数设置中配置设备监测预警参数。</w:t>
            </w:r>
            <w:r>
              <w:rPr>
                <w:rStyle w:val="8"/>
                <w:rFonts w:hint="eastAsia" w:ascii="宋体" w:hAnsi="宋体" w:eastAsia="宋体" w:cs="宋体"/>
                <w:sz w:val="21"/>
                <w:szCs w:val="21"/>
                <w:bdr w:val="none" w:color="auto" w:sz="0" w:space="0"/>
                <w:lang w:val="en-US" w:eastAsia="zh-CN" w:bidi="ar"/>
              </w:rPr>
              <w:br w:type="textWrapping"/>
            </w:r>
            <w:r>
              <w:rPr>
                <w:rStyle w:val="8"/>
                <w:rFonts w:hint="eastAsia" w:ascii="宋体" w:hAnsi="宋体" w:eastAsia="宋体" w:cs="宋体"/>
                <w:sz w:val="21"/>
                <w:szCs w:val="21"/>
                <w:bdr w:val="none" w:color="auto" w:sz="0" w:space="0"/>
                <w:lang w:val="en-US" w:eastAsia="zh-CN" w:bidi="ar"/>
              </w:rPr>
              <w:t>▲</w:t>
            </w:r>
            <w:r>
              <w:rPr>
                <w:rStyle w:val="9"/>
                <w:rFonts w:hint="eastAsia" w:ascii="宋体" w:hAnsi="宋体" w:eastAsia="宋体" w:cs="宋体"/>
                <w:sz w:val="21"/>
                <w:szCs w:val="21"/>
                <w:bdr w:val="none" w:color="auto" w:sz="0" w:space="0"/>
                <w:lang w:val="en-US" w:eastAsia="zh-CN" w:bidi="ar"/>
              </w:rPr>
              <w:t>需提供软件著作权复印件并加盖原厂公章（若著作权中系统名称不同但功能符合的可提供功能说明材料并加盖原厂公章），软件开发公司以软件著作权登记证书中的著作权人为准</w:t>
            </w:r>
          </w:p>
        </w:tc>
        <w:tc>
          <w:tcPr>
            <w:tcW w:w="63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78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dxa"/>
            <w:shd w:val="clear"/>
            <w:noWrap/>
            <w:vAlign w:val="center"/>
          </w:tcPr>
          <w:p>
            <w:pPr>
              <w:jc w:val="center"/>
              <w:rPr>
                <w:rFonts w:hint="eastAsia" w:ascii="宋体" w:hAnsi="宋体" w:eastAsia="宋体" w:cs="宋体"/>
                <w:i w:val="0"/>
                <w:iCs w:val="0"/>
                <w:color w:val="000000"/>
                <w:sz w:val="21"/>
                <w:szCs w:val="21"/>
                <w:u w:val="none"/>
              </w:rPr>
            </w:pPr>
          </w:p>
        </w:tc>
        <w:tc>
          <w:tcPr>
            <w:tcW w:w="1620"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合计</w:t>
            </w:r>
          </w:p>
        </w:tc>
        <w:tc>
          <w:tcPr>
            <w:tcW w:w="8715" w:type="dxa"/>
            <w:shd w:val="clear" w:color="auto" w:fill="FFFFFF"/>
            <w:vAlign w:val="center"/>
          </w:tcPr>
          <w:p>
            <w:pPr>
              <w:jc w:val="left"/>
              <w:rPr>
                <w:rFonts w:hint="eastAsia" w:ascii="宋体" w:hAnsi="宋体" w:eastAsia="宋体" w:cs="宋体"/>
                <w:i w:val="0"/>
                <w:iCs w:val="0"/>
                <w:color w:val="000000"/>
                <w:sz w:val="21"/>
                <w:szCs w:val="21"/>
                <w:u w:val="none"/>
              </w:rPr>
            </w:pPr>
          </w:p>
        </w:tc>
        <w:tc>
          <w:tcPr>
            <w:tcW w:w="630"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780"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039" w:type="dxa"/>
            <w:shd w:val="clear" w:color="auto" w:fill="FFFFFF"/>
            <w:vAlign w:val="center"/>
          </w:tcPr>
          <w:p>
            <w:pPr>
              <w:jc w:val="center"/>
              <w:rPr>
                <w:rFonts w:hint="eastAsia" w:ascii="宋体" w:hAnsi="宋体" w:eastAsia="宋体" w:cs="宋体"/>
                <w:i w:val="0"/>
                <w:iCs w:val="0"/>
                <w:color w:val="000000"/>
                <w:sz w:val="21"/>
                <w:szCs w:val="21"/>
                <w:u w:val="none"/>
              </w:rPr>
            </w:pPr>
          </w:p>
        </w:tc>
        <w:tc>
          <w:tcPr>
            <w:tcW w:w="1112" w:type="dxa"/>
            <w:shd w:val="clear" w:color="auto" w:fill="FFFFFF"/>
            <w:vAlign w:val="center"/>
          </w:tcPr>
          <w:p>
            <w:pPr>
              <w:jc w:val="center"/>
              <w:rPr>
                <w:rFonts w:hint="eastAsia" w:ascii="宋体" w:hAnsi="宋体" w:eastAsia="宋体" w:cs="宋体"/>
                <w:i w:val="0"/>
                <w:iCs w:val="0"/>
                <w:color w:val="000000"/>
                <w:sz w:val="21"/>
                <w:szCs w:val="21"/>
                <w:u w:val="none"/>
              </w:rPr>
            </w:pPr>
          </w:p>
        </w:tc>
      </w:tr>
    </w:tbl>
    <w:p>
      <w:bookmarkStart w:id="0" w:name="_GoBack"/>
      <w:bookmarkEnd w:id="0"/>
    </w:p>
    <w:sectPr>
      <w:footerReference r:id="rId3" w:type="default"/>
      <w:pgSz w:w="16838" w:h="11906" w:orient="landscape"/>
      <w:pgMar w:top="1417" w:right="1417"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0YTU4ZjEyMzA3MDJlMzZmZGJkMGFjNTY2ZGZkN2QifQ=="/>
  </w:docVars>
  <w:rsids>
    <w:rsidRoot w:val="71B553FD"/>
    <w:rsid w:val="169C38A4"/>
    <w:rsid w:val="71B55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41"/>
    <w:basedOn w:val="5"/>
    <w:uiPriority w:val="0"/>
    <w:rPr>
      <w:rFonts w:hint="eastAsia" w:ascii="宋体" w:hAnsi="宋体" w:eastAsia="宋体" w:cs="宋体"/>
      <w:color w:val="000000"/>
      <w:sz w:val="20"/>
      <w:szCs w:val="20"/>
      <w:u w:val="none"/>
    </w:rPr>
  </w:style>
  <w:style w:type="character" w:customStyle="1" w:styleId="7">
    <w:name w:val="font31"/>
    <w:basedOn w:val="5"/>
    <w:uiPriority w:val="0"/>
    <w:rPr>
      <w:rFonts w:hint="eastAsia" w:ascii="宋体" w:hAnsi="宋体" w:eastAsia="宋体" w:cs="宋体"/>
      <w:b/>
      <w:bCs/>
      <w:color w:val="000000"/>
      <w:sz w:val="20"/>
      <w:szCs w:val="20"/>
      <w:u w:val="none"/>
    </w:rPr>
  </w:style>
  <w:style w:type="character" w:customStyle="1" w:styleId="8">
    <w:name w:val="font61"/>
    <w:basedOn w:val="5"/>
    <w:uiPriority w:val="0"/>
    <w:rPr>
      <w:rFonts w:hint="eastAsia" w:ascii="宋体" w:hAnsi="宋体" w:eastAsia="宋体" w:cs="宋体"/>
      <w:color w:val="000000"/>
      <w:sz w:val="16"/>
      <w:szCs w:val="16"/>
      <w:u w:val="none"/>
    </w:rPr>
  </w:style>
  <w:style w:type="character" w:customStyle="1" w:styleId="9">
    <w:name w:val="font51"/>
    <w:basedOn w:val="5"/>
    <w:uiPriority w:val="0"/>
    <w:rPr>
      <w:rFonts w:hint="eastAsia" w:ascii="宋体" w:hAnsi="宋体" w:eastAsia="宋体" w:cs="宋体"/>
      <w:b/>
      <w:bCs/>
      <w:color w:val="000000"/>
      <w:sz w:val="16"/>
      <w:szCs w:val="16"/>
      <w:u w:val="none"/>
    </w:rPr>
  </w:style>
  <w:style w:type="character" w:customStyle="1" w:styleId="10">
    <w:name w:val="font81"/>
    <w:basedOn w:val="5"/>
    <w:uiPriority w:val="0"/>
    <w:rPr>
      <w:rFonts w:hint="eastAsia" w:ascii="宋体" w:hAnsi="宋体" w:eastAsia="宋体" w:cs="宋体"/>
      <w:b/>
      <w:bCs/>
      <w:color w:val="000000"/>
      <w:sz w:val="16"/>
      <w:szCs w:val="16"/>
      <w:u w:val="none"/>
    </w:rPr>
  </w:style>
  <w:style w:type="character" w:customStyle="1" w:styleId="11">
    <w:name w:val="font91"/>
    <w:basedOn w:val="5"/>
    <w:uiPriority w:val="0"/>
    <w:rPr>
      <w:rFonts w:hint="eastAsia" w:ascii="宋体" w:hAnsi="宋体" w:eastAsia="宋体" w:cs="宋体"/>
      <w:b/>
      <w:bCs/>
      <w:color w:val="ED7D31"/>
      <w:sz w:val="16"/>
      <w:szCs w:val="16"/>
      <w:u w:val="none"/>
    </w:rPr>
  </w:style>
  <w:style w:type="character" w:customStyle="1" w:styleId="12">
    <w:name w:val="font101"/>
    <w:basedOn w:val="5"/>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2023-11-09T07:13:00Z</dcterms:created>
  <dc:creator>溧阳市文体广电和旅游局</dc:creator>
  <cp:lastModifiedBy>　 </cp:lastModifiedBy>
  <dcterms:modified xsi:type="dcterms:W3CDTF">2023-11-09T07:18:29Z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15AA587BB1B04E6A82FD47526C30F983_11</vt:lpwstr>
  </property>
</Properties>
</file>